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filename1.htm"/>
        <w:bookmarkStart w:id="1" w:name="ksfilename1"/>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confidentially submitted with the U.S. Securities and Exchange Commission on July 17, 2026 </w:t>
      </w:r>
    </w:p>
    <w:p>
      <w:pPr>
        <w:pStyle w:val="TextBody"/>
        <w:bidi w:val="0"/>
        <w:spacing w:before="0" w:after="0"/>
        <w:jc w:val="center"/>
        <w:rPr>
          <w:rFonts w:ascii="Times New Roman" w:hAnsi="Times New Roman"/>
          <w:b/>
          <w:sz w:val="18"/>
        </w:rPr>
      </w:pPr>
      <w:r>
        <w:rPr>
          <w:rFonts w:ascii="Times New Roman" w:hAnsi="Times New Roman"/>
          <w:b/>
          <w:sz w:val="18"/>
        </w:rPr>
        <w:t xml:space="preserve">This draft registration statement has not been publicly filed and all information herein remains strictly confidential.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32"/>
        </w:rPr>
      </w:pPr>
      <w:r>
        <w:rPr>
          <w:rFonts w:ascii="Times New Roman" w:hAnsi="Times New Roman"/>
          <w:b/>
          <w:sz w:val="32"/>
        </w:rPr>
        <w:t xml:space="preserve">FORM S-1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40"/>
        </w:rPr>
      </w:pPr>
      <w:r>
        <w:rPr>
          <w:rFonts w:ascii="Times New Roman" w:hAnsi="Times New Roman"/>
          <w:b/>
          <w:sz w:val="40"/>
        </w:rPr>
        <w:t xml:space="preserve">TEAMSHARES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1"/>
        <w:gridCol w:w="3267"/>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6719</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61-2235506</w:t>
            </w:r>
          </w:p>
        </w:tc>
      </w:tr>
      <w:tr>
        <w:trPr/>
        <w:tc>
          <w:tcPr>
            <w:tcW w:w="3367"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0"/>
              <w:jc w:val="center"/>
              <w:rPr>
                <w:rFonts w:ascii="Times New Roman" w:hAnsi="Times New Roman"/>
                <w:b/>
                <w:sz w:val="16"/>
              </w:rPr>
            </w:pPr>
            <w:r>
              <w:rPr>
                <w:rFonts w:ascii="Times New Roman" w:hAnsi="Times New Roman"/>
                <w:b/>
                <w:sz w:val="16"/>
              </w:rPr>
              <w:t>(Primary Standard Industrial</w:t>
            </w:r>
          </w:p>
          <w:p>
            <w:pPr>
              <w:pStyle w:val="TableContents"/>
              <w:bidi w:val="0"/>
              <w:spacing w:before="0" w:after="20"/>
              <w:jc w:val="center"/>
              <w:rPr>
                <w:rFonts w:ascii="Times New Roman" w:hAnsi="Times New Roman"/>
                <w:b/>
                <w:sz w:val="16"/>
              </w:rPr>
            </w:pPr>
            <w:r>
              <w:rPr>
                <w:rFonts w:ascii="Times New Roman" w:hAnsi="Times New Roman"/>
                <w:b/>
                <w:sz w:val="16"/>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214 Sullivan Street, 3B </w:t>
      </w:r>
    </w:p>
    <w:p>
      <w:pPr>
        <w:pStyle w:val="TextBody"/>
        <w:bidi w:val="0"/>
        <w:spacing w:before="0" w:after="0"/>
        <w:jc w:val="center"/>
        <w:rPr>
          <w:rFonts w:ascii="Times New Roman" w:hAnsi="Times New Roman"/>
          <w:b/>
          <w:sz w:val="18"/>
        </w:rPr>
      </w:pPr>
      <w:r>
        <w:rPr>
          <w:rFonts w:ascii="Times New Roman" w:hAnsi="Times New Roman"/>
          <w:b/>
          <w:sz w:val="18"/>
        </w:rPr>
        <w:t xml:space="preserve">New York, NY 10012 </w:t>
      </w:r>
    </w:p>
    <w:p>
      <w:pPr>
        <w:pStyle w:val="TextBody"/>
        <w:bidi w:val="0"/>
        <w:spacing w:before="0" w:after="0"/>
        <w:jc w:val="center"/>
        <w:rPr>
          <w:rFonts w:ascii="Times New Roman" w:hAnsi="Times New Roman"/>
          <w:b/>
          <w:sz w:val="18"/>
        </w:rPr>
      </w:pPr>
      <w:r>
        <w:rPr>
          <w:rFonts w:ascii="Times New Roman" w:hAnsi="Times New Roman"/>
          <w:b/>
          <w:sz w:val="18"/>
        </w:rPr>
        <w:t xml:space="preserve">(917) 310-2731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18"/>
        </w:rPr>
      </w:pPr>
      <w:r>
        <w:rPr>
          <w:rFonts w:ascii="Times New Roman" w:hAnsi="Times New Roman"/>
          <w:b/>
          <w:sz w:val="18"/>
        </w:rPr>
        <w:t xml:space="preserve">Brian Gaebe </w:t>
      </w:r>
    </w:p>
    <w:p>
      <w:pPr>
        <w:pStyle w:val="TextBody"/>
        <w:bidi w:val="0"/>
        <w:spacing w:before="0" w:after="0"/>
        <w:jc w:val="center"/>
        <w:rPr>
          <w:rFonts w:ascii="Times New Roman" w:hAnsi="Times New Roman"/>
          <w:b/>
          <w:sz w:val="18"/>
        </w:rPr>
      </w:pPr>
      <w:r>
        <w:rPr>
          <w:rFonts w:ascii="Times New Roman" w:hAnsi="Times New Roman"/>
          <w:b/>
          <w:sz w:val="18"/>
        </w:rPr>
        <w:t xml:space="preserve">Chief Financial Officer </w:t>
      </w:r>
    </w:p>
    <w:p>
      <w:pPr>
        <w:pStyle w:val="TextBody"/>
        <w:bidi w:val="0"/>
        <w:spacing w:before="0" w:after="0"/>
        <w:jc w:val="center"/>
        <w:rPr>
          <w:rFonts w:ascii="Times New Roman" w:hAnsi="Times New Roman"/>
          <w:b/>
          <w:sz w:val="18"/>
        </w:rPr>
      </w:pPr>
      <w:r>
        <w:rPr>
          <w:rFonts w:ascii="Times New Roman" w:hAnsi="Times New Roman"/>
          <w:b/>
          <w:sz w:val="18"/>
        </w:rPr>
        <w:t xml:space="preserve">214 Sullivan Street, 3B </w:t>
      </w:r>
    </w:p>
    <w:p>
      <w:pPr>
        <w:pStyle w:val="TextBody"/>
        <w:bidi w:val="0"/>
        <w:spacing w:before="0" w:after="0"/>
        <w:jc w:val="center"/>
        <w:rPr>
          <w:rFonts w:ascii="Times New Roman" w:hAnsi="Times New Roman"/>
          <w:b/>
          <w:sz w:val="18"/>
        </w:rPr>
      </w:pPr>
      <w:r>
        <w:rPr>
          <w:rFonts w:ascii="Times New Roman" w:hAnsi="Times New Roman"/>
          <w:b/>
          <w:sz w:val="18"/>
        </w:rPr>
        <w:t xml:space="preserve">New York, NY </w:t>
      </w:r>
    </w:p>
    <w:p>
      <w:pPr>
        <w:pStyle w:val="TextBody"/>
        <w:bidi w:val="0"/>
        <w:spacing w:before="0" w:after="0"/>
        <w:jc w:val="center"/>
        <w:rPr>
          <w:rFonts w:ascii="Times New Roman" w:hAnsi="Times New Roman"/>
          <w:b/>
          <w:sz w:val="18"/>
        </w:rPr>
      </w:pPr>
      <w:r>
        <w:rPr>
          <w:rFonts w:ascii="Times New Roman" w:hAnsi="Times New Roman"/>
          <w:b/>
          <w:sz w:val="18"/>
        </w:rPr>
        <w:t xml:space="preserve">10012 </w:t>
      </w:r>
    </w:p>
    <w:p>
      <w:pPr>
        <w:pStyle w:val="TextBody"/>
        <w:bidi w:val="0"/>
        <w:spacing w:before="0" w:after="0"/>
        <w:jc w:val="center"/>
        <w:rPr>
          <w:rFonts w:ascii="Times New Roman" w:hAnsi="Times New Roman"/>
          <w:b/>
          <w:sz w:val="18"/>
        </w:rPr>
      </w:pPr>
      <w:r>
        <w:rPr>
          <w:rFonts w:ascii="Times New Roman" w:hAnsi="Times New Roman"/>
          <w:b/>
          <w:sz w:val="18"/>
        </w:rPr>
        <w:t xml:space="preserve">(917) 310-2731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60" w:after="0"/>
        <w:jc w:val="center"/>
        <w:rPr>
          <w:rFonts w:ascii="Times New Roman" w:hAnsi="Times New Roman"/>
          <w:b/>
          <w:sz w:val="18"/>
        </w:rPr>
      </w:pPr>
      <w:r>
        <w:rPr>
          <w:rFonts w:ascii="Times New Roman" w:hAnsi="Times New Roman"/>
          <w:b/>
          <w:sz w:val="18"/>
        </w:rPr>
        <w:t xml:space="preserve">Ryan Maierson </w:t>
      </w:r>
    </w:p>
    <w:p>
      <w:pPr>
        <w:pStyle w:val="TextBody"/>
        <w:bidi w:val="0"/>
        <w:spacing w:before="0" w:after="0"/>
        <w:jc w:val="center"/>
        <w:rPr>
          <w:rFonts w:ascii="Times New Roman" w:hAnsi="Times New Roman"/>
          <w:b/>
          <w:sz w:val="18"/>
        </w:rPr>
      </w:pPr>
      <w:r>
        <w:rPr>
          <w:rFonts w:ascii="Times New Roman" w:hAnsi="Times New Roman"/>
          <w:b/>
          <w:sz w:val="18"/>
        </w:rPr>
        <w:t xml:space="preserve">Nick S. Dhesi </w:t>
      </w:r>
    </w:p>
    <w:p>
      <w:pPr>
        <w:pStyle w:val="TextBody"/>
        <w:bidi w:val="0"/>
        <w:spacing w:before="0" w:after="0"/>
        <w:jc w:val="center"/>
        <w:rPr>
          <w:rFonts w:ascii="Times New Roman" w:hAnsi="Times New Roman"/>
          <w:b/>
          <w:sz w:val="18"/>
        </w:rPr>
      </w:pPr>
      <w:r>
        <w:rPr>
          <w:rFonts w:ascii="Times New Roman" w:hAnsi="Times New Roman"/>
          <w:b/>
          <w:sz w:val="18"/>
        </w:rPr>
        <w:t xml:space="preserve">John J. Slater </w:t>
      </w:r>
    </w:p>
    <w:p>
      <w:pPr>
        <w:pStyle w:val="TextBody"/>
        <w:bidi w:val="0"/>
        <w:spacing w:before="0" w:after="0"/>
        <w:jc w:val="center"/>
        <w:rPr>
          <w:rFonts w:ascii="Times New Roman" w:hAnsi="Times New Roman"/>
          <w:b/>
          <w:sz w:val="18"/>
        </w:rPr>
      </w:pPr>
      <w:r>
        <w:rPr>
          <w:rFonts w:ascii="Times New Roman" w:hAnsi="Times New Roman"/>
          <w:b/>
          <w:sz w:val="18"/>
        </w:rPr>
        <w:t xml:space="preserve">Latham &amp; Watkins LLP </w:t>
      </w:r>
    </w:p>
    <w:p>
      <w:pPr>
        <w:pStyle w:val="TextBody"/>
        <w:bidi w:val="0"/>
        <w:spacing w:before="0" w:after="0"/>
        <w:jc w:val="center"/>
        <w:rPr>
          <w:rFonts w:ascii="Times New Roman" w:hAnsi="Times New Roman"/>
          <w:b/>
          <w:sz w:val="18"/>
        </w:rPr>
      </w:pPr>
      <w:r>
        <w:rPr>
          <w:rFonts w:ascii="Times New Roman" w:hAnsi="Times New Roman"/>
          <w:b/>
          <w:sz w:val="18"/>
        </w:rPr>
        <w:t xml:space="preserve">811 Main Street </w:t>
      </w:r>
    </w:p>
    <w:p>
      <w:pPr>
        <w:pStyle w:val="TextBody"/>
        <w:bidi w:val="0"/>
        <w:spacing w:before="0" w:after="0"/>
        <w:jc w:val="center"/>
        <w:rPr>
          <w:rFonts w:ascii="Times New Roman" w:hAnsi="Times New Roman"/>
          <w:b/>
          <w:sz w:val="18"/>
        </w:rPr>
      </w:pPr>
      <w:r>
        <w:rPr>
          <w:rFonts w:ascii="Times New Roman" w:hAnsi="Times New Roman"/>
          <w:b/>
          <w:sz w:val="18"/>
        </w:rPr>
        <w:t xml:space="preserve">Houston, Texas 77002 </w:t>
      </w:r>
    </w:p>
    <w:p>
      <w:pPr>
        <w:pStyle w:val="TextBody"/>
        <w:bidi w:val="0"/>
        <w:spacing w:before="0" w:after="0"/>
        <w:jc w:val="center"/>
        <w:rPr>
          <w:rFonts w:ascii="Times New Roman" w:hAnsi="Times New Roman"/>
          <w:b/>
          <w:sz w:val="18"/>
        </w:rPr>
      </w:pPr>
      <w:r>
        <w:rPr>
          <w:rFonts w:ascii="Times New Roman" w:hAnsi="Times New Roman"/>
          <w:b/>
          <w:sz w:val="18"/>
        </w:rPr>
        <w:t xml:space="preserve">(713) 546-5400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sz w:val="18"/>
        </w:rPr>
      </w:pPr>
      <w:r>
        <w:rPr>
          <w:rFonts w:ascii="Times New Roman" w:hAnsi="Times New Roman"/>
          <w:b/>
          <w:sz w:val="18"/>
        </w:rPr>
        <w:t>Approximate date of commencement of proposed sale to the public:</w:t>
      </w:r>
      <w:r>
        <w:rPr>
          <w:rFonts w:ascii="Times New Roman" w:hAnsi="Times New Roman"/>
          <w:sz w:val="18"/>
        </w:rPr>
        <w:t xml:space="preserve"> From time to time after this registration statement becomes effective. </w:t>
      </w:r>
    </w:p>
    <w:p>
      <w:pPr>
        <w:pStyle w:val="TextBody"/>
        <w:bidi w:val="0"/>
        <w:spacing w:before="6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56"/>
        <w:gridCol w:w="104"/>
        <w:gridCol w:w="4834"/>
        <w:gridCol w:w="133"/>
        <w:gridCol w:w="2607"/>
        <w:gridCol w:w="104"/>
        <w:gridCol w:w="267"/>
      </w:tblGrid>
      <w:tr>
        <w:trPr/>
        <w:tc>
          <w:tcPr>
            <w:tcW w:w="215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3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156"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34"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60" w:hRule="atLeast"/>
        </w:trPr>
        <w:tc>
          <w:tcPr>
            <w:tcW w:w="2156" w:type="dxa"/>
            <w:tcBorders/>
            <w:vAlign w:val="center"/>
          </w:tcPr>
          <w:p>
            <w:pPr>
              <w:pStyle w:val="TableContents"/>
              <w:bidi w:val="0"/>
              <w:spacing w:before="0" w:after="283"/>
              <w:jc w:val="left"/>
              <w:rPr>
                <w:sz w:val="4"/>
                <w:szCs w:val="4"/>
              </w:rPr>
            </w:pPr>
            <w:r>
              <w:rPr>
                <w:sz w:val="4"/>
                <w:szCs w:val="4"/>
              </w:rPr>
            </w:r>
          </w:p>
        </w:tc>
        <w:tc>
          <w:tcPr>
            <w:tcW w:w="4938" w:type="dxa"/>
            <w:gridSpan w:val="2"/>
            <w:tcBorders/>
            <w:vAlign w:val="center"/>
          </w:tcPr>
          <w:p>
            <w:pPr>
              <w:pStyle w:val="TableContents"/>
              <w:bidi w:val="0"/>
              <w:spacing w:before="0" w:after="283"/>
              <w:jc w:val="left"/>
              <w:rPr>
                <w:sz w:val="4"/>
                <w:szCs w:val="4"/>
              </w:rPr>
            </w:pPr>
            <w:r>
              <w:rPr>
                <w:sz w:val="4"/>
                <w:szCs w:val="4"/>
              </w:rPr>
            </w:r>
          </w:p>
        </w:tc>
        <w:tc>
          <w:tcPr>
            <w:tcW w:w="2740"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56"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34"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60" w:hRule="atLeast"/>
        </w:trPr>
        <w:tc>
          <w:tcPr>
            <w:tcW w:w="2156" w:type="dxa"/>
            <w:tcBorders/>
            <w:vAlign w:val="center"/>
          </w:tcPr>
          <w:p>
            <w:pPr>
              <w:pStyle w:val="TableContents"/>
              <w:bidi w:val="0"/>
              <w:spacing w:before="0" w:after="283"/>
              <w:jc w:val="left"/>
              <w:rPr>
                <w:sz w:val="4"/>
                <w:szCs w:val="4"/>
              </w:rPr>
            </w:pPr>
            <w:r>
              <w:rPr>
                <w:sz w:val="4"/>
                <w:szCs w:val="4"/>
              </w:rPr>
            </w:r>
          </w:p>
        </w:tc>
        <w:tc>
          <w:tcPr>
            <w:tcW w:w="4938" w:type="dxa"/>
            <w:gridSpan w:val="2"/>
            <w:tcBorders/>
            <w:vAlign w:val="center"/>
          </w:tcPr>
          <w:p>
            <w:pPr>
              <w:pStyle w:val="TableContents"/>
              <w:bidi w:val="0"/>
              <w:spacing w:before="0" w:after="283"/>
              <w:jc w:val="left"/>
              <w:rPr>
                <w:sz w:val="4"/>
                <w:szCs w:val="4"/>
              </w:rPr>
            </w:pPr>
            <w:r>
              <w:rPr>
                <w:sz w:val="4"/>
                <w:szCs w:val="4"/>
              </w:rPr>
            </w:r>
          </w:p>
        </w:tc>
        <w:tc>
          <w:tcPr>
            <w:tcW w:w="2740"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56"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3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18"/>
        </w:rPr>
      </w:pPr>
      <w:r>
        <w:rPr>
          <w:rFonts w:ascii="Times New Roman" w:hAnsi="Times New Roman"/>
          <w:b/>
          <w:sz w:val="18"/>
        </w:rPr>
        <w:t xml:space="preserve">Rule 429 Statement </w:t>
      </w:r>
    </w:p>
    <w:p>
      <w:pPr>
        <w:pStyle w:val="TextBody"/>
        <w:bidi w:val="0"/>
        <w:spacing w:before="60" w:after="0"/>
        <w:jc w:val="left"/>
        <w:rPr>
          <w:rFonts w:ascii="Times New Roman" w:hAnsi="Times New Roman"/>
          <w:b/>
          <w:sz w:val="18"/>
        </w:rPr>
      </w:pPr>
      <w:r>
        <w:rPr>
          <w:rFonts w:ascii="Times New Roman" w:hAnsi="Times New Roman"/>
          <w:b/>
          <w:sz w:val="18"/>
        </w:rPr>
        <w:t xml:space="preserve">Pursuant to Rule 429 under the Securities Act, the first prospectus contained in this Registration Statement on Form S-1 (referred to herein as the Registration Statement) will be used as a combined prospectus in connection with this Registration Statement and the registrant’s Registration Statement on Form S-4 (File No. 333-294869) that was originally declared effective by the Securities and Exchange Commission on May 27, 2026 (as amended, the “S-4”) and Registration Statement on Form S-1 (File No. 333-284207) that was originally declared effective by the Securities and Exchange Commission on February 27, 2025 (as amended, the “Prior S-1”). Accordingly, this Registration Statement also constitutes Post-Effective Amendment No. 4 on Form S-4 to the S-4 and Post-Effective Amendment No. 4 on Form S-1 to the Prior S-1. Such Post-Effective Amendments will become effective concurrently with the effectiveness of this Registration Statement in accordance with Section 8(c) of the Securities Act. </w:t>
      </w:r>
    </w:p>
    <w:p>
      <w:pPr>
        <w:pStyle w:val="TextBody"/>
        <w:bidi w:val="0"/>
        <w:spacing w:before="6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These securities may not be sold until the registration statement filed with the U.S. Securities and Exchange Commission is effective. The preliminary prospectus is not an offer to sell these securities and does not constitute the solicitation of offers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JULY 17, 2026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733675" cy="3702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33675" cy="370205"/>
                    </a:xfrm>
                    <a:prstGeom prst="rect">
                      <a:avLst/>
                    </a:prstGeom>
                  </pic:spPr>
                </pic:pic>
              </a:graphicData>
            </a:graphic>
          </wp:inline>
        </w:drawing>
      </w:r>
      <w:r>
        <w:rPr/>
        <w:t xml:space="preserve"> </w:t>
      </w:r>
    </w:p>
    <w:p>
      <w:pPr>
        <w:pStyle w:val="TextBody"/>
        <w:bidi w:val="0"/>
        <w:spacing w:before="120" w:after="0"/>
        <w:ind w:left="960" w:right="960" w:hanging="0"/>
        <w:jc w:val="center"/>
        <w:rPr>
          <w:rFonts w:ascii="Times New Roman" w:hAnsi="Times New Roman"/>
          <w:b/>
          <w:sz w:val="48"/>
        </w:rPr>
      </w:pPr>
      <w:r>
        <w:rPr>
          <w:rFonts w:ascii="Times New Roman" w:hAnsi="Times New Roman"/>
          <w:b/>
          <w:sz w:val="48"/>
        </w:rPr>
        <w:t xml:space="preserve">TEAMSHARES INC. </w:t>
      </w:r>
    </w:p>
    <w:p>
      <w:pPr>
        <w:pStyle w:val="TextBody"/>
        <w:bidi w:val="0"/>
        <w:spacing w:before="120" w:after="0"/>
        <w:ind w:left="960" w:right="960" w:hanging="0"/>
        <w:jc w:val="center"/>
        <w:rPr>
          <w:rFonts w:ascii="Times New Roman" w:hAnsi="Times New Roman"/>
          <w:b/>
          <w:i/>
          <w:sz w:val="24"/>
        </w:rPr>
      </w:pPr>
      <w:r>
        <w:rPr>
          <w:rFonts w:ascii="Times New Roman" w:hAnsi="Times New Roman"/>
          <w:b/>
          <w:i/>
          <w:sz w:val="24"/>
        </w:rPr>
        <w:t xml:space="preserve">Primary Offering of </w:t>
      </w:r>
    </w:p>
    <w:p>
      <w:pPr>
        <w:pStyle w:val="TextBody"/>
        <w:bidi w:val="0"/>
        <w:spacing w:before="120" w:after="0"/>
        <w:ind w:left="960" w:right="960" w:hanging="0"/>
        <w:jc w:val="center"/>
        <w:rPr>
          <w:rFonts w:ascii="Times New Roman" w:hAnsi="Times New Roman"/>
          <w:b/>
          <w:sz w:val="24"/>
        </w:rPr>
      </w:pPr>
      <w:r>
        <w:rPr>
          <w:rFonts w:ascii="Times New Roman" w:hAnsi="Times New Roman"/>
          <w:b/>
          <w:sz w:val="24"/>
        </w:rPr>
        <w:t xml:space="preserve">16,000,000 Shares of Common Stock </w:t>
      </w:r>
    </w:p>
    <w:p>
      <w:pPr>
        <w:pStyle w:val="TextBody"/>
        <w:bidi w:val="0"/>
        <w:spacing w:before="120" w:after="0"/>
        <w:ind w:left="960" w:right="960" w:hanging="0"/>
        <w:jc w:val="center"/>
        <w:rPr>
          <w:rFonts w:ascii="Times New Roman" w:hAnsi="Times New Roman"/>
          <w:b/>
          <w:i/>
          <w:sz w:val="24"/>
        </w:rPr>
      </w:pPr>
      <w:r>
        <w:rPr>
          <w:rFonts w:ascii="Times New Roman" w:hAnsi="Times New Roman"/>
          <w:b/>
          <w:i/>
          <w:sz w:val="24"/>
        </w:rPr>
        <w:t xml:space="preserve">Secondary Offering of </w:t>
      </w:r>
    </w:p>
    <w:p>
      <w:pPr>
        <w:pStyle w:val="TextBody"/>
        <w:bidi w:val="0"/>
        <w:spacing w:before="120" w:after="0"/>
        <w:ind w:left="960" w:right="960" w:hanging="0"/>
        <w:jc w:val="center"/>
        <w:rPr>
          <w:rFonts w:ascii="Times New Roman" w:hAnsi="Times New Roman"/>
          <w:b/>
          <w:sz w:val="24"/>
        </w:rPr>
      </w:pPr>
      <w:r>
        <w:rPr>
          <w:rFonts w:ascii="Times New Roman" w:hAnsi="Times New Roman"/>
          <w:b/>
          <w:sz w:val="24"/>
        </w:rPr>
        <w:t xml:space="preserve">19,064,643 Shares of Common Stock </w:t>
      </w:r>
    </w:p>
    <w:p>
      <w:pPr>
        <w:pStyle w:val="TextBody"/>
        <w:bidi w:val="0"/>
        <w:spacing w:before="120" w:after="0"/>
        <w:ind w:left="960" w:right="960" w:hanging="0"/>
        <w:jc w:val="center"/>
        <w:rPr>
          <w:rFonts w:ascii="Times New Roman" w:hAnsi="Times New Roman"/>
          <w:b/>
          <w:sz w:val="24"/>
        </w:rPr>
      </w:pPr>
      <w:r>
        <w:rPr>
          <w:rFonts w:ascii="Times New Roman" w:hAnsi="Times New Roman"/>
          <w:b/>
          <w:sz w:val="24"/>
        </w:rPr>
        <w:t xml:space="preserve">4,500,000 Warrants to Purchase Shares of Common Stock </w:t>
      </w:r>
    </w:p>
    <w:p>
      <w:pPr>
        <w:pStyle w:val="TextBody"/>
        <w:bidi w:val="0"/>
        <w:spacing w:before="120" w:after="0"/>
        <w:ind w:left="960" w:right="960" w:hanging="0"/>
        <w:jc w:val="center"/>
        <w:rPr>
          <w:rFonts w:ascii="Times New Roman" w:hAnsi="Times New Roman"/>
          <w:b/>
          <w:sz w:val="24"/>
        </w:rPr>
      </w:pPr>
      <w:r>
        <w:rPr>
          <w:rFonts w:ascii="Times New Roman" w:hAnsi="Times New Roman"/>
          <w:b/>
          <w:sz w:val="24"/>
        </w:rPr>
        <w:t xml:space="preserve">4,500,000 Shares of Common Stock Issuable Upon Exercise of Warrants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This prospectus relates to the offer and sale by Teamshares Inc. (“</w:t>
      </w:r>
      <w:r>
        <w:rPr>
          <w:rFonts w:ascii="Times New Roman" w:hAnsi="Times New Roman"/>
          <w:b/>
          <w:sz w:val="20"/>
        </w:rPr>
        <w:t>us</w:t>
      </w:r>
      <w:r>
        <w:rPr>
          <w:rFonts w:ascii="Times New Roman" w:hAnsi="Times New Roman"/>
          <w:sz w:val="20"/>
        </w:rPr>
        <w:t>,” “</w:t>
      </w:r>
      <w:r>
        <w:rPr>
          <w:rFonts w:ascii="Times New Roman" w:hAnsi="Times New Roman"/>
          <w:b/>
          <w:sz w:val="20"/>
        </w:rPr>
        <w:t>we</w:t>
      </w:r>
      <w:r>
        <w:rPr>
          <w:rFonts w:ascii="Times New Roman" w:hAnsi="Times New Roman"/>
          <w:sz w:val="20"/>
        </w:rPr>
        <w:t>,” “</w:t>
      </w:r>
      <w:r>
        <w:rPr>
          <w:rFonts w:ascii="Times New Roman" w:hAnsi="Times New Roman"/>
          <w:b/>
          <w:sz w:val="20"/>
        </w:rPr>
        <w:t>New Teamshares</w:t>
      </w:r>
      <w:r>
        <w:rPr>
          <w:rFonts w:ascii="Times New Roman" w:hAnsi="Times New Roman"/>
          <w:sz w:val="20"/>
        </w:rPr>
        <w:t>” or the “</w:t>
      </w:r>
      <w:r>
        <w:rPr>
          <w:rFonts w:ascii="Times New Roman" w:hAnsi="Times New Roman"/>
          <w:b/>
          <w:sz w:val="20"/>
        </w:rPr>
        <w:t>Company</w:t>
      </w:r>
      <w:r>
        <w:rPr>
          <w:rFonts w:ascii="Times New Roman" w:hAnsi="Times New Roman"/>
          <w:sz w:val="20"/>
        </w:rPr>
        <w:t>”) of up to 16,000,000 shares of common stock, par value $0.0001 per share (the “</w:t>
      </w:r>
      <w:r>
        <w:rPr>
          <w:rFonts w:ascii="Times New Roman" w:hAnsi="Times New Roman"/>
          <w:b/>
          <w:sz w:val="20"/>
        </w:rPr>
        <w:t>Common Stock</w:t>
      </w:r>
      <w:r>
        <w:rPr>
          <w:rFonts w:ascii="Times New Roman" w:hAnsi="Times New Roman"/>
          <w:sz w:val="20"/>
        </w:rPr>
        <w:t>”), which consists of (i) up to 4,500,000 shares of Common Stock that are issuable upon the exercise of 4,500,000 warrants (the “</w:t>
      </w:r>
      <w:r>
        <w:rPr>
          <w:rFonts w:ascii="Times New Roman" w:hAnsi="Times New Roman"/>
          <w:b/>
          <w:sz w:val="20"/>
        </w:rPr>
        <w:t>Private Warrants</w:t>
      </w:r>
      <w:r>
        <w:rPr>
          <w:rFonts w:ascii="Times New Roman" w:hAnsi="Times New Roman"/>
          <w:sz w:val="20"/>
        </w:rPr>
        <w:t xml:space="preserve">”) (assuming, solely for this purpose, an exercise price of $11.50 per warrant), originally issued in a private placement in connection with the initial public offering of Live Oak Acquisition Corp. V (“ </w:t>
      </w:r>
      <w:r>
        <w:rPr>
          <w:rFonts w:ascii="Times New Roman" w:hAnsi="Times New Roman"/>
          <w:b/>
          <w:sz w:val="20"/>
        </w:rPr>
        <w:t>Live Oak</w:t>
      </w:r>
      <w:r>
        <w:rPr>
          <w:rFonts w:ascii="Times New Roman" w:hAnsi="Times New Roman"/>
          <w:sz w:val="20"/>
        </w:rPr>
        <w:t>”), by the holders thereof, and (ii) up to 11,500,000 shares of Common Stock that are issuable upon the exercise of 11,500,000 publicly issued warrants (assuming, solely for this purpose, an exercise price of $11.50 per warrant) (the “</w:t>
      </w:r>
      <w:r>
        <w:rPr>
          <w:rFonts w:ascii="Times New Roman" w:hAnsi="Times New Roman"/>
          <w:b/>
          <w:sz w:val="20"/>
        </w:rPr>
        <w:t>Public Warrants</w:t>
      </w:r>
      <w:r>
        <w:rPr>
          <w:rFonts w:ascii="Times New Roman" w:hAnsi="Times New Roman"/>
          <w:sz w:val="20"/>
        </w:rPr>
        <w:t>” and, together with the Private Warrants, the “</w:t>
      </w:r>
      <w:r>
        <w:rPr>
          <w:rFonts w:ascii="Times New Roman" w:hAnsi="Times New Roman"/>
          <w:b/>
          <w:sz w:val="20"/>
        </w:rPr>
        <w:t>Warrants</w:t>
      </w:r>
      <w:r>
        <w:rPr>
          <w:rFonts w:ascii="Times New Roman" w:hAnsi="Times New Roman"/>
          <w:sz w:val="20"/>
        </w:rPr>
        <w:t xml:space="preserve">”) originally issued in the initial public offering of Live Oak, by the holders thereof.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This prospectus also relates to the offer and resale, from time to time, by the selling securityholders (including their transferees, donees, pledgees and other successors-in-interest) named in this prospectus (the “</w:t>
      </w:r>
      <w:r>
        <w:rPr>
          <w:rFonts w:ascii="Times New Roman" w:hAnsi="Times New Roman"/>
          <w:b/>
          <w:sz w:val="20"/>
        </w:rPr>
        <w:t>Selling Securityholders</w:t>
      </w:r>
      <w:r>
        <w:rPr>
          <w:rFonts w:ascii="Times New Roman" w:hAnsi="Times New Roman"/>
          <w:sz w:val="20"/>
        </w:rPr>
        <w:t xml:space="preserve">”) of: </w:t>
      </w:r>
    </w:p>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up to 5,314,643 shares of Common Stock of the Company held by or issuable to certain holders entitled to resale registration rights pursuant to the Amended and Restated Registration Rights Agreement, dated as of June 18, 2026 (the “</w:t>
            </w:r>
            <w:r>
              <w:rPr>
                <w:rFonts w:ascii="Times New Roman" w:hAnsi="Times New Roman"/>
                <w:b/>
                <w:sz w:val="20"/>
              </w:rPr>
              <w:t>Registration Rights Agreement</w:t>
            </w:r>
            <w:r>
              <w:rPr>
                <w:rFonts w:ascii="Times New Roman" w:hAnsi="Times New Roman"/>
                <w:sz w:val="20"/>
              </w:rPr>
              <w:t xml:space="preserve">”) or other agreements, including: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751,343 shares of Common Stock deliverable to SAFE Investors upon conversion of the Teamshares SAFEs in connection with the Closing of the Business Combination;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63,300 shares of Common Stock deliverable to SAFE Investors upon conversion of the equivalent number of Released Former Sponsor Shares in connection with the Closing of the Business Combination;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4,500,000 shares of Common Stock that are issuable upon the exercise of 4,500,000 Private Warrants (assuming, solely for this purpose, an exercise price of $11.50 per warrant), originally issued in a private placement in connection with the initial public offering of Live Oak, by the holders thereof; and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13,750,000 shares of Common Stock deliverable to the Initial PIPE Investors upon consummation of the Initial PIPE Investment transaction pursuant to Initial PIPE Subscription Agreements; and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up to 4,500,000 Warrants held by certain Selling Securityholders (such securities described in clauses (i) through (iii) collectively, the “</w:t>
            </w:r>
            <w:r>
              <w:rPr>
                <w:rFonts w:ascii="Times New Roman" w:hAnsi="Times New Roman"/>
                <w:b/>
                <w:sz w:val="20"/>
              </w:rPr>
              <w:t>Resale Securities</w:t>
            </w:r>
            <w:r>
              <w:rPr>
                <w:rFonts w:ascii="Times New Roman" w:hAnsi="Times New Roman"/>
                <w:sz w:val="20"/>
              </w:rPr>
              <w:t xml:space="preserve">”). </w:t>
            </w:r>
          </w:p>
        </w:tc>
      </w:tr>
    </w:tbl>
    <w:p>
      <w:pPr>
        <w:pStyle w:val="TextBody"/>
        <w:bidi w:val="0"/>
        <w:spacing w:before="120" w:after="0"/>
        <w:ind w:left="960" w:right="960" w:hanging="0"/>
        <w:jc w:val="left"/>
        <w:rPr>
          <w:rFonts w:ascii="Times New Roman" w:hAnsi="Times New Roman"/>
          <w:sz w:val="20"/>
        </w:rPr>
      </w:pPr>
      <w:r>
        <w:rPr>
          <w:rFonts w:ascii="Times New Roman" w:hAnsi="Times New Roman"/>
          <w:sz w:val="20"/>
        </w:rPr>
        <w:t>We are registering the offer and sale and/or resale of these securities to satisfy certain registration obligations we have and certain registration rights we have granted. The Selling Securityholders may offer all or part of the Resale Securities for resale from time to time through public or private transactions, at either prevailing market prices or at privately negotiated prices. The Resale Securities are being registered to permit the Selling Securityholders to sell Resale Securities from time to time, in amounts, at prices and on terms determined at the time of offering. The Selling Securityholders may sell the Resale Securities through ordinary brokerage transactions, in underwritten offerings, directly to market makers of our securities or through any other means described in the section entitled “</w:t>
      </w:r>
      <w:r>
        <w:rPr>
          <w:rFonts w:ascii="Times New Roman" w:hAnsi="Times New Roman"/>
          <w:i/>
          <w:sz w:val="20"/>
        </w:rPr>
        <w:t>Plan of Distribution</w:t>
      </w:r>
      <w:r>
        <w:rPr>
          <w:rFonts w:ascii="Times New Roman" w:hAnsi="Times New Roman"/>
          <w:sz w:val="20"/>
        </w:rPr>
        <w:t xml:space="preserve">” herein. In connection with any sales of Resale Securities offered hereunder, the Selling Securityholders, any underwriters, agents, brokers or dealers participating in such sales may be deemed to be “underwriters” within the meaning of the Securities Act, or the Exchange Act. We are registering the Resale Securities for resale by the Selling Securityholders, or their donees, pledgees, transferees, distributees or other successors-in-interest selling our Common Stock or Warrants or interests in our Common Stock or Warrants received after the date of this prospectus from the Selling Securityholders as a gift, pledge, partnership distribution or other transfer.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Certain Resale Securities held by the Selling Securityholders party to the Registration Rights Agreement are subject to lock-up restrictions that prohibit them from selling such securities at this time, subject to certain exceptions. See the section of this prospectus entitled “</w:t>
      </w:r>
      <w:r>
        <w:rPr>
          <w:rFonts w:ascii="Times New Roman" w:hAnsi="Times New Roman"/>
          <w:i/>
          <w:sz w:val="20"/>
        </w:rPr>
        <w:t>Description of Capital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Some of the shares of Common Stock being registered for resale were acquired by the Selling Securityholders for prices considerably below the current market price of the shares of Common Stock. Certain Selling Securityholders may have an incentive to sell because they have purchased their Common Stock at effective prices significantly lower than our public investors or the current trading price of the Common Stock and may profit significantly so even under circumstances in which our public securityholders or certain other Selling Securityholders would experience losses in connection with their investment. For additional information, see “</w:t>
      </w:r>
      <w:r>
        <w:rPr>
          <w:rFonts w:ascii="Times New Roman" w:hAnsi="Times New Roman"/>
          <w:i/>
          <w:sz w:val="20"/>
        </w:rPr>
        <w:t>Risk Factors–Sales of a substantial number of our securities in the public market by the Selling Security holders and/or by our existing securityholders could cause the price of our shares of Common Stock to fall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shares of Common Stock being offered for resale by the Selling Securityholders pursuant to this prospectus represent approximately  % of our total issued and outstanding Common Stock on a fully diluted basis (assuming and after giving effect to     shares of Common Stock issuable upon the exercise of all outstanding Warrants, and that the exercise price of such Warrants is $   per share). Upon expiration of the contractual lock-up restrictions mentioned above and described in the section entitled “</w:t>
      </w:r>
      <w:r>
        <w:rPr>
          <w:rFonts w:ascii="Times New Roman" w:hAnsi="Times New Roman"/>
          <w:i/>
          <w:sz w:val="20"/>
        </w:rPr>
        <w:t>Certain Relationships and Related Person Transactions</w:t>
      </w:r>
      <w:r>
        <w:rPr>
          <w:rFonts w:ascii="Times New Roman" w:hAnsi="Times New Roman"/>
          <w:sz w:val="20"/>
        </w:rPr>
        <w:t xml:space="preserve">,” the Selling Securityholders will be able to sell all of their Resale Securities registered for resale hereunder for so long as this registration statement of which this prospectus forms a part is available for use. Given the substantial number of Resale Securities being registered for potential resale by the Selling Securityholders pursuant to the registration statement of which this prospectus forms a part, the sale of such Resale Securities by the Selling Securityholders, or the perception in the market that the Selling Securityholders may or intend to sell all or a significant portion of such Resale Securities, could increase the volatility of the market price of our Common Stock or result in a significant decline in the public trading price of our Common Stock. The Selling Securityholders acquired, or have the option to acquire, the Common Stock covered by this prospectus at prices ranging from less than $0.01 per share to $10.00 per share. By comparison, the offering price to public stockholders in Live Oak’s IPO was $10.00 per unit, each of which consisted of one Class A Ordinary Share and one redeemable warrant to purchase one Class A ordinary share upon the consummation of an initial business combination. Consequently, certain Selling Securityholders may realize a positive rate of return on the sale of their Resale Securities covered by this prospectus even if the market price of Common Stock is below the $10.00 per unit price offered in the Live Oak IPO and public stockholders may experience a negative rate of return on their investment. </w:t>
      </w:r>
    </w:p>
    <w:p>
      <w:pPr>
        <w:pStyle w:val="TextBody"/>
        <w:bidi w:val="0"/>
        <w:spacing w:before="120" w:after="0"/>
        <w:jc w:val="left"/>
        <w:rPr>
          <w:rFonts w:ascii="Times New Roman" w:hAnsi="Times New Roman"/>
          <w:sz w:val="20"/>
        </w:rPr>
      </w:pPr>
      <w:r>
        <w:rPr>
          <w:rFonts w:ascii="Times New Roman" w:hAnsi="Times New Roman"/>
          <w:sz w:val="20"/>
        </w:rPr>
        <w:t xml:space="preserve">We will not receive any proceeds from the sale of the Resale Securities by the Selling Securityholders. We will receive the proceeds upon exercise of the Warrants to the extent such Warrants are exercised for cash. Assuming the exercise of all outstanding Warrants for cash, we would receive aggregate proceeds of approximately $    million. However, we will only receive such proceeds if all Warrant holders fully exercise their Warrants for cash. The current exercise price of the Warrants is $11.50 per share. We believe that the likelihood that holders determine to exercise their Warrants, and therefore the amount of cash proceeds that we would receive, is dependent upon the market price of our Common Stock. If the market price for our Common Stock is less than the exercise price of the Warrants or Warrants (on a per share basis), we believe that holders will be very unlikely to exercise any of their Warrants, and accordingly, we will not receive any such proceeds. There is no assurance that the Warrants will be or will remain “in the money” prior to their expiration. Holders of Warrants have the option to exercise their Warrants on a cashless basis in accordance with the terms of the Warrants (as applicable). To the extent that any Warrants are exercised on a cashless basis, the amount of cash we would receive from the exercise of such Warrants will decrease. </w:t>
      </w:r>
    </w:p>
    <w:p>
      <w:pPr>
        <w:pStyle w:val="TextBody"/>
        <w:bidi w:val="0"/>
        <w:spacing w:before="120" w:after="0"/>
        <w:jc w:val="left"/>
        <w:rPr>
          <w:rFonts w:ascii="Times New Roman" w:hAnsi="Times New Roman"/>
          <w:sz w:val="20"/>
        </w:rPr>
      </w:pPr>
      <w:r>
        <w:rPr>
          <w:rFonts w:ascii="Times New Roman" w:hAnsi="Times New Roman"/>
          <w:sz w:val="20"/>
        </w:rPr>
        <w:t xml:space="preserve">We will bear all costs, expenses, and fees in connection with the registration of the shares of Common Stock and Warrants. The Selling Securityholders will bear all commissions and discounts, if any, attributable to their respective sales of the shares of Common Stock and Warrants. </w:t>
      </w:r>
    </w:p>
    <w:p>
      <w:pPr>
        <w:pStyle w:val="TextBody"/>
        <w:bidi w:val="0"/>
        <w:spacing w:before="120" w:after="0"/>
        <w:jc w:val="left"/>
        <w:rPr>
          <w:rFonts w:ascii="Times New Roman" w:hAnsi="Times New Roman"/>
          <w:sz w:val="20"/>
        </w:rPr>
      </w:pPr>
      <w:r>
        <w:rPr>
          <w:rFonts w:ascii="Times New Roman" w:hAnsi="Times New Roman"/>
          <w:sz w:val="20"/>
        </w:rPr>
        <w:t>Our shares of Common Stock and Warrants are listed on the Nasdaq Stock Market LLC (“</w:t>
      </w:r>
      <w:r>
        <w:rPr>
          <w:rFonts w:ascii="Times New Roman" w:hAnsi="Times New Roman"/>
          <w:b/>
          <w:sz w:val="20"/>
        </w:rPr>
        <w:t>Nasdaq</w:t>
      </w:r>
      <w:r>
        <w:rPr>
          <w:rFonts w:ascii="Times New Roman" w:hAnsi="Times New Roman"/>
          <w:sz w:val="20"/>
        </w:rPr>
        <w:t xml:space="preserve">”) under the symbols “TMS” and “TMSWW,” respectively. On   , 2026, the closing price of our Common Stock was $    per share and the closing price for our Warrants was $   . </w:t>
      </w:r>
    </w:p>
    <w:p>
      <w:pPr>
        <w:pStyle w:val="TextBody"/>
        <w:bidi w:val="0"/>
        <w:spacing w:before="120" w:after="0"/>
        <w:jc w:val="left"/>
        <w:rPr>
          <w:rFonts w:ascii="Times New Roman" w:hAnsi="Times New Roman"/>
          <w:sz w:val="20"/>
        </w:rPr>
      </w:pPr>
      <w:r>
        <w:rPr>
          <w:rFonts w:ascii="Times New Roman" w:hAnsi="Times New Roman"/>
          <w:sz w:val="20"/>
        </w:rPr>
        <w:t>We are an “emerging growth company” under the federal securities laws and will be subject to reduced disclosure and public reporting requirements. See “</w:t>
      </w:r>
      <w:r>
        <w:rPr>
          <w:rFonts w:ascii="Times New Roman" w:hAnsi="Times New Roman"/>
          <w:i/>
          <w:sz w:val="20"/>
        </w:rPr>
        <w:t>Summary—Implications of Being an Emerging Growth Company.</w:t>
      </w:r>
      <w:r>
        <w:rPr>
          <w:rFonts w:ascii="Times New Roman" w:hAnsi="Times New Roman"/>
          <w:sz w:val="20"/>
        </w:rPr>
        <w:t xml:space="preserve">” </w:t>
      </w:r>
    </w:p>
    <w:p>
      <w:pPr>
        <w:pStyle w:val="TextBody"/>
        <w:bidi w:val="0"/>
        <w:spacing w:before="120" w:after="0"/>
        <w:jc w:val="left"/>
        <w:rPr/>
      </w:pPr>
      <w:r>
        <w:rPr>
          <w:rFonts w:ascii="Times New Roman" w:hAnsi="Times New Roman"/>
          <w:b/>
          <w:sz w:val="24"/>
        </w:rPr>
        <w:t>Investing in shares of our securities involves risks that are described in the “</w:t>
      </w:r>
      <w:hyperlink w:anchor="toc58823_7">
        <w:r>
          <w:rPr>
            <w:rStyle w:val="InternetLink"/>
            <w:rFonts w:ascii="Times New Roman" w:hAnsi="Times New Roman"/>
            <w:b/>
            <w:sz w:val="24"/>
          </w:rPr>
          <w:t>Risk Factors</w:t>
        </w:r>
      </w:hyperlink>
      <w:r>
        <w:rPr>
          <w:rFonts w:ascii="Times New Roman" w:hAnsi="Times New Roman"/>
          <w:b/>
          <w:sz w:val="24"/>
        </w:rPr>
        <w:t xml:space="preserve">” section beginning on page 10 of this prospectus. </w:t>
      </w:r>
    </w:p>
    <w:p>
      <w:pPr>
        <w:pStyle w:val="TextBody"/>
        <w:bidi w:val="0"/>
        <w:spacing w:before="120" w:after="0"/>
        <w:jc w:val="left"/>
        <w:rPr>
          <w:rFonts w:ascii="Times New Roman" w:hAnsi="Times New Roman"/>
          <w:sz w:val="20"/>
        </w:rPr>
      </w:pPr>
      <w:r>
        <w:rPr>
          <w:rFonts w:ascii="Times New Roman" w:hAnsi="Times New Roman"/>
          <w:sz w:val="20"/>
        </w:rPr>
        <w:t xml:space="preserve">Neither the U.S. Securities and Exchange Commission nor any state securities commission has approved or disapproved of the securities to be issued under this prospectus or determined if this prospectus is truthful or complete. Any representation to the contrary is a criminal offense. </w:t>
      </w:r>
    </w:p>
    <w:p>
      <w:pPr>
        <w:pStyle w:val="TextBody"/>
        <w:bidi w:val="0"/>
        <w:spacing w:before="120" w:after="0"/>
        <w:jc w:val="center"/>
        <w:rPr>
          <w:rFonts w:ascii="Times New Roman" w:hAnsi="Times New Roman"/>
          <w:b/>
          <w:sz w:val="20"/>
        </w:rPr>
      </w:pPr>
      <w:r>
        <w:rPr>
          <w:rFonts w:ascii="Times New Roman" w:hAnsi="Times New Roman"/>
          <w:b/>
          <w:sz w:val="20"/>
        </w:rPr>
        <w:t xml:space="preserve">The date of this prospectus is   ,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42"/>
        <w:gridCol w:w="153"/>
        <w:gridCol w:w="60"/>
        <w:gridCol w:w="388"/>
        <w:gridCol w:w="62"/>
      </w:tblGrid>
      <w:tr>
        <w:trPr/>
        <w:tc>
          <w:tcPr>
            <w:tcW w:w="9542"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42" w:type="dxa"/>
            <w:tcBorders/>
            <w:vAlign w:val="bottom"/>
          </w:tcPr>
          <w:p>
            <w:pPr>
              <w:pStyle w:val="TableContents"/>
              <w:bidi w:val="0"/>
              <w:spacing w:before="0" w:after="0"/>
              <w:jc w:val="left"/>
              <w:rPr/>
            </w:pPr>
            <w:hyperlink w:anchor="toc58823_1">
              <w:r>
                <w:rPr>
                  <w:rStyle w:val="InternetLink"/>
                  <w:rFonts w:ascii="Times New Roman" w:hAnsi="Times New Roman"/>
                  <w:sz w:val="20"/>
                </w:rPr>
                <w:t>ABOUT THIS PROSPECTUS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2">
              <w:r>
                <w:rPr>
                  <w:rStyle w:val="InternetLink"/>
                  <w:rFonts w:ascii="Times New Roman" w:hAnsi="Times New Roman"/>
                  <w:sz w:val="20"/>
                </w:rPr>
                <w:t>FREQUENTLY USED TERMS AND BASIS OF PRESENTATION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3">
              <w:r>
                <w:rPr>
                  <w:rStyle w:val="InternetLink"/>
                  <w:rFonts w:ascii="Times New Roman" w:hAnsi="Times New Roman"/>
                  <w:sz w:val="20"/>
                </w:rPr>
                <w:t>MARKET AND INDUSTRY DATA</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xiii</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4">
              <w:r>
                <w:rPr>
                  <w:rStyle w:val="InternetLink"/>
                  <w:rFonts w:ascii="Times New Roman" w:hAnsi="Times New Roman"/>
                  <w:sz w:val="20"/>
                </w:rPr>
                <w:t>CAUTIONARY STATEMENT REGARDING FORWARD-LOOKING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xiii</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5">
              <w:r>
                <w:rPr>
                  <w:rStyle w:val="InternetLink"/>
                  <w:rFonts w:ascii="Times New Roman" w:hAnsi="Times New Roman"/>
                  <w:sz w:val="20"/>
                </w:rPr>
                <w:t>SUMMARY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6">
              <w:r>
                <w:rPr>
                  <w:rStyle w:val="InternetLink"/>
                  <w:rFonts w:ascii="Times New Roman" w:hAnsi="Times New Roman"/>
                  <w:sz w:val="20"/>
                </w:rPr>
                <w:t>THE OFFERING</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7">
              <w:r>
                <w:rPr>
                  <w:rStyle w:val="InternetLink"/>
                  <w:rFonts w:ascii="Times New Roman" w:hAnsi="Times New Roman"/>
                  <w:sz w:val="20"/>
                </w:rPr>
                <w:t>RISK FACTORS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8">
              <w:r>
                <w:rPr>
                  <w:rStyle w:val="InternetLink"/>
                  <w:rFonts w:ascii="Times New Roman" w:hAnsi="Times New Roman"/>
                  <w:sz w:val="20"/>
                </w:rPr>
                <w:t>USE OF PROCEEDS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9">
              <w:r>
                <w:rPr>
                  <w:rStyle w:val="InternetLink"/>
                  <w:rFonts w:ascii="Times New Roman" w:hAnsi="Times New Roman"/>
                  <w:sz w:val="20"/>
                </w:rPr>
                <w:t>DIVIDEND POLICY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10">
              <w:r>
                <w:rPr>
                  <w:rStyle w:val="InternetLink"/>
                  <w:rFonts w:ascii="Times New Roman" w:hAnsi="Times New Roman"/>
                  <w:sz w:val="20"/>
                </w:rPr>
                <w:t>UNAUDITED PRO FORMA CONDENSED CONSOLIDATED FINANCIAL INFORMATION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11">
              <w:r>
                <w:rPr>
                  <w:rStyle w:val="InternetLink"/>
                  <w:rFonts w:ascii="Times New Roman" w:hAnsi="Times New Roman"/>
                  <w:sz w:val="20"/>
                </w:rPr>
                <w:t>MANAGEMENT’S DISCUSSION AND ANALYSIS OF FINANCIAL CONDITION AND RESULTS OF OPERATIONS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12">
              <w:r>
                <w:rPr>
                  <w:rStyle w:val="InternetLink"/>
                  <w:rFonts w:ascii="Times New Roman" w:hAnsi="Times New Roman"/>
                  <w:sz w:val="20"/>
                </w:rPr>
                <w:t>BUSINESS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88</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13">
              <w:r>
                <w:rPr>
                  <w:rStyle w:val="InternetLink"/>
                  <w:rFonts w:ascii="Times New Roman" w:hAnsi="Times New Roman"/>
                  <w:sz w:val="20"/>
                </w:rPr>
                <w:t>MANAGEMENT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100</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14">
              <w:r>
                <w:rPr>
                  <w:rStyle w:val="InternetLink"/>
                  <w:rFonts w:ascii="Times New Roman" w:hAnsi="Times New Roman"/>
                  <w:sz w:val="20"/>
                </w:rPr>
                <w:t>EXECUTIVE AND DIRECTOR COMPENSATION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106</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15">
              <w:r>
                <w:rPr>
                  <w:rStyle w:val="InternetLink"/>
                  <w:rFonts w:ascii="Times New Roman" w:hAnsi="Times New Roman"/>
                  <w:sz w:val="20"/>
                </w:rPr>
                <w:t>BENEFICIAL OWNERSHIP OF SECURITIES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110</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16">
              <w:r>
                <w:rPr>
                  <w:rStyle w:val="InternetLink"/>
                  <w:rFonts w:ascii="Times New Roman" w:hAnsi="Times New Roman"/>
                  <w:sz w:val="20"/>
                </w:rPr>
                <w:t>SELLING SECURITYHOLDERS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113</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17">
              <w:r>
                <w:rPr>
                  <w:rStyle w:val="InternetLink"/>
                  <w:rFonts w:ascii="Times New Roman" w:hAnsi="Times New Roman"/>
                  <w:sz w:val="20"/>
                </w:rPr>
                <w:t>CERTAIN RELATIONSHIPS AND RELATED PERSON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115</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18">
              <w:r>
                <w:rPr>
                  <w:rStyle w:val="InternetLink"/>
                  <w:rFonts w:ascii="Times New Roman" w:hAnsi="Times New Roman"/>
                  <w:sz w:val="20"/>
                </w:rPr>
                <w:t>DESCRIPTION OF CAPITAL STOCK</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118</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19">
              <w:r>
                <w:rPr>
                  <w:rStyle w:val="InternetLink"/>
                  <w:rFonts w:ascii="Times New Roman" w:hAnsi="Times New Roman"/>
                  <w:sz w:val="20"/>
                </w:rPr>
                <w:t>SHARES ELIGIBLE FOR FUTURE SALE</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125</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20">
              <w:r>
                <w:rPr>
                  <w:rStyle w:val="InternetLink"/>
                  <w:rFonts w:ascii="Times New Roman" w:hAnsi="Times New Roman"/>
                  <w:sz w:val="20"/>
                </w:rPr>
                <w:t>MATERIAL U.S. FEDERAL TAX CONSIDERATIONS FOR NON-U.S. HOLDERS OF COMMON STOCK</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128</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21">
              <w:r>
                <w:rPr>
                  <w:rStyle w:val="InternetLink"/>
                  <w:rFonts w:ascii="Times New Roman" w:hAnsi="Times New Roman"/>
                  <w:sz w:val="20"/>
                </w:rPr>
                <w:t>PLAN OF DISTRIBUTION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135</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22">
              <w:r>
                <w:rPr>
                  <w:rStyle w:val="InternetLink"/>
                  <w:rFonts w:ascii="Times New Roman" w:hAnsi="Times New Roman"/>
                  <w:sz w:val="20"/>
                </w:rPr>
                <w:t>LEGAL MATTERS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138</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23">
              <w:r>
                <w:rPr>
                  <w:rStyle w:val="InternetLink"/>
                  <w:rFonts w:ascii="Times New Roman" w:hAnsi="Times New Roman"/>
                  <w:sz w:val="20"/>
                </w:rPr>
                <w:t>EXPERTS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138</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24">
              <w:r>
                <w:rPr>
                  <w:rStyle w:val="InternetLink"/>
                  <w:rFonts w:ascii="Times New Roman" w:hAnsi="Times New Roman"/>
                  <w:sz w:val="20"/>
                </w:rPr>
                <w:t>WHERE YOU CAN FIND MORE INFORMATION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138</w:t>
            </w:r>
          </w:p>
        </w:tc>
        <w:tc>
          <w:tcPr>
            <w:tcW w:w="62" w:type="dxa"/>
            <w:tcBorders/>
            <w:vAlign w:val="bottom"/>
          </w:tcPr>
          <w:p>
            <w:pPr>
              <w:pStyle w:val="TableContents"/>
              <w:bidi w:val="0"/>
              <w:spacing w:before="0" w:after="283"/>
              <w:jc w:val="left"/>
              <w:rPr/>
            </w:pPr>
            <w:r>
              <w:rPr/>
              <w:t> </w:t>
            </w:r>
          </w:p>
        </w:tc>
      </w:tr>
      <w:tr>
        <w:trPr/>
        <w:tc>
          <w:tcPr>
            <w:tcW w:w="9542" w:type="dxa"/>
            <w:tcBorders/>
            <w:vAlign w:val="bottom"/>
          </w:tcPr>
          <w:p>
            <w:pPr>
              <w:pStyle w:val="TableContents"/>
              <w:bidi w:val="0"/>
              <w:spacing w:before="0" w:after="0"/>
              <w:jc w:val="left"/>
              <w:rPr/>
            </w:pPr>
            <w:hyperlink w:anchor="toc58823_25">
              <w:r>
                <w:rPr>
                  <w:rStyle w:val="InternetLink"/>
                  <w:rFonts w:ascii="Times New Roman" w:hAnsi="Times New Roman"/>
                  <w:sz w:val="20"/>
                </w:rPr>
                <w:t>INDEX TO FINANCIAL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prospectus or any amendment or supplement to this prospectus. This prospectus is an offer to sell only the securities offered hereby, but only under the circumstances and in jurisdictions where it is lawful to do so. Neither we nor the Selling Securityholders have authorized anyone to provide you with information different from that contained in this prospectus or any amendment or supplement to this prospectus. Neither we nor the Selling Securityholders take any responsibility for, or can provide any assurance as to the reliability of, any information other than the information in this prospectus or any amendment or supplement to this prospectus. The information in this prospectus or any amendment or supplement to this prospectus is accurate only as of its date, regardless of the time of delivery of this prospectus or any amendment or supplement to this prospectus, as applicable, or any sale of the securities offered by this prospectus.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b/>
          <w:sz w:val="20"/>
        </w:rPr>
        <w:t>For Investors Outside the United States</w:t>
      </w:r>
      <w:r>
        <w:rPr>
          <w:rFonts w:ascii="Times New Roman" w:hAnsi="Times New Roman"/>
          <w:sz w:val="20"/>
        </w:rPr>
        <w:t xml:space="preserve">: We and the Selling Securityholders are offering to sell, and seeking offers to buy, the securities offered by this prospectus only in jurisdictions where offers and sales are permitted. Neither we nor the Selling Securityholders have done anything that would permit this offering or the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offered by this prospectus and the distribution of this prospectus outside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58823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on Form S-1 that we filed with the SEC using the “shelf” registration process. Under the shelf registration process, the Selling Securityholders may, from time to time, sell the securities offered by them described in this prospectus through any means described in the section titled “</w:t>
      </w:r>
      <w:r>
        <w:rPr>
          <w:rFonts w:ascii="Times New Roman" w:hAnsi="Times New Roman"/>
          <w:i/>
          <w:sz w:val="20"/>
        </w:rPr>
        <w:t>Plan of Distribution</w:t>
      </w:r>
      <w:r>
        <w:rPr>
          <w:rFonts w:ascii="Times New Roman" w:hAnsi="Times New Roman"/>
          <w:sz w:val="20"/>
        </w:rPr>
        <w:t xml:space="preserve">.” More specific terms of any securities that the Selling Securityholders and their permitted transferees offer and sell may be provided in a prospectus supplement that describes, among other things, the specific amounts and prices of the securities being offered and the terms of the offering. This prospectus also relates to the issuance by us of shares of Common Stock from time to time upon the occurrence of the events described in this prospectus. </w:t>
      </w:r>
    </w:p>
    <w:p>
      <w:pPr>
        <w:pStyle w:val="TextBody"/>
        <w:bidi w:val="0"/>
        <w:spacing w:before="240" w:after="0"/>
        <w:jc w:val="left"/>
        <w:rPr>
          <w:rFonts w:ascii="Times New Roman" w:hAnsi="Times New Roman"/>
          <w:sz w:val="20"/>
        </w:rPr>
      </w:pPr>
      <w:r>
        <w:rPr>
          <w:rFonts w:ascii="Times New Roman" w:hAnsi="Times New Roman"/>
          <w:sz w:val="20"/>
        </w:rPr>
        <w:t>We may also provide a prospectus supplement or post-effective amendment to the registration statement of which this prospectus forms a part to add information to, or update or change information contained in, this prospectus. Any statement contained in this prospectus will be deemed to be modified or superseded for purposes of this prospectus to the extent that a statement contained in such prospectus supplement or post-effective amendment modifies or supersedes such statement. Any statement so modified will be deemed to constitute a part of this prospectus only as so modified, and any statement so superseded will be deemed not to constitute a part of this prospectus. You should read both this prospectus and any applicable prospectus supplement or post-effective amendment to the registration statement of which this prospectus forms a part together with the additional information to which we refer you in the sections of this prospectus titled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forms a part, and you may obtain copies of those documents as described below under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4" w:name="toc58823_2"/>
      <w:bookmarkEnd w:id="4"/>
      <w:r>
        <w:rPr>
          <w:rFonts w:ascii="Times New Roman" w:hAnsi="Times New Roman"/>
          <w:b/>
          <w:sz w:val="20"/>
        </w:rPr>
        <w:t xml:space="preserve">FREQUENTLY USED TERMS AND BASIS OF PRESENTATION </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on November 27, 2024 as a Cayman Islands exempted company under the name Live Oak Acquisition Corp. V for the purpose of effecting a merger, share exchange, asset acquisition, share purchase, reorganization or similar business combination with one or more businesses. In connection with the consummation of the Business Combination, we were renamed “Teamshares Inc.” and we act as the sole member of Legacy Teamshares. Unless otherwise indicated, the financial information included herein is that of Legacy Teamshares. We are a holding company, and, accordingly, all of our assets are held directly by, and all of our operations are conducted through, Legacy Teamshares, and our only direct asset consists of equity ownership in Legacy Teamshares. As the sole member of Legacy Teamshares, we have all management powers over, and full control of the business of Legacy Teamshares, including the power to take all action we deem necessary, appropriate, advisable, incidental, or convenient to accomplish the purposes of Legacy Teamshares set forth in its charter. Accordingly, the financial statements of Legacy Teamshares for periods following the consummation of the Business Combination will be prepared on a consolidated basis with ours. </w:t>
      </w:r>
    </w:p>
    <w:p>
      <w:pPr>
        <w:pStyle w:val="TextBody"/>
        <w:bidi w:val="0"/>
        <w:spacing w:before="240" w:after="0"/>
        <w:jc w:val="left"/>
        <w:rPr>
          <w:rFonts w:ascii="Times New Roman" w:hAnsi="Times New Roman"/>
          <w:sz w:val="20"/>
        </w:rPr>
      </w:pPr>
      <w:r>
        <w:rPr>
          <w:rFonts w:ascii="Times New Roman" w:hAnsi="Times New Roman"/>
          <w:sz w:val="20"/>
        </w:rPr>
        <w:t xml:space="preserve">References to a year refer to our fiscal years ended on December 31 of the specified year. </w:t>
      </w:r>
    </w:p>
    <w:p>
      <w:pPr>
        <w:pStyle w:val="TextBody"/>
        <w:bidi w:val="0"/>
        <w:spacing w:before="240" w:after="0"/>
        <w:jc w:val="left"/>
        <w:rPr>
          <w:rFonts w:ascii="Times New Roman" w:hAnsi="Times New Roman"/>
          <w:sz w:val="20"/>
        </w:rPr>
      </w:pPr>
      <w:r>
        <w:rPr>
          <w:rFonts w:ascii="Times New Roman" w:hAnsi="Times New Roman"/>
          <w:sz w:val="20"/>
        </w:rPr>
        <w:t xml:space="preserve">Certain monetary amounts, percentages and other figures included herein have been subject to rounding adjustments. Accordingly, figures shown as totals in certain tables and charts may not be the arithmetic aggregation of the figures that precede them, and figures expressed as percentages in the text may not total 100% or, as applicable, when aggregated may not be the arithmetic aggregation of the percentages that precede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the context otherwise requires, references in this prospectus to the “Company,” “New Teamshares,” “Teamshares Inc.,” “we,” “us,” or “our” refer to the business of Legacy Teamshares, which became the business of Teamshares Inc. and its subsidiaries following the consummation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this document: </w:t>
      </w:r>
    </w:p>
    <w:p>
      <w:pPr>
        <w:pStyle w:val="TextBody"/>
        <w:bidi w:val="0"/>
        <w:spacing w:before="240" w:after="0"/>
        <w:jc w:val="left"/>
        <w:rPr/>
      </w:pPr>
      <w:r>
        <w:rPr/>
        <w:t>“</w:t>
      </w:r>
      <w:r>
        <w:rPr>
          <w:rFonts w:ascii="Times New Roman" w:hAnsi="Times New Roman"/>
          <w:b/>
          <w:sz w:val="20"/>
        </w:rPr>
        <w:t>Aggregate Consideration</w:t>
      </w:r>
      <w:r>
        <w:rPr>
          <w:rFonts w:ascii="Times New Roman" w:hAnsi="Times New Roman"/>
          <w:sz w:val="20"/>
        </w:rPr>
        <w:t xml:space="preserve">” means 49,435,918 shares of Common Stock. </w:t>
      </w:r>
    </w:p>
    <w:p>
      <w:pPr>
        <w:pStyle w:val="TextBody"/>
        <w:bidi w:val="0"/>
        <w:spacing w:before="240" w:after="0"/>
        <w:jc w:val="left"/>
        <w:rPr/>
      </w:pPr>
      <w:r>
        <w:rPr/>
        <w:t>“</w:t>
      </w:r>
      <w:r>
        <w:rPr>
          <w:rFonts w:ascii="Times New Roman" w:hAnsi="Times New Roman"/>
          <w:b/>
          <w:sz w:val="20"/>
        </w:rPr>
        <w:t>Amended and Restated Registration Rights Agreement</w:t>
      </w:r>
      <w:r>
        <w:rPr>
          <w:rFonts w:ascii="Times New Roman" w:hAnsi="Times New Roman"/>
          <w:sz w:val="20"/>
        </w:rPr>
        <w:t xml:space="preserve">” means the amended and restated registration rights agreement, effective as of the Closing, pursuant to which New Teamshares agreed to register certain securities held by the Sponsor (or, to the extent applicable, Sponsor distributees), certain Teamshares Stockholders, certain SAFE Investors receiving Bonus Shares and the Initial PIPE Investors. </w:t>
      </w:r>
    </w:p>
    <w:p>
      <w:pPr>
        <w:pStyle w:val="TextBody"/>
        <w:bidi w:val="0"/>
        <w:spacing w:before="240" w:after="0"/>
        <w:jc w:val="left"/>
        <w:rPr/>
      </w:pPr>
      <w:r>
        <w:rPr/>
        <w:t>“</w:t>
      </w:r>
      <w:r>
        <w:rPr>
          <w:rFonts w:ascii="Times New Roman" w:hAnsi="Times New Roman"/>
          <w:b/>
          <w:sz w:val="20"/>
        </w:rPr>
        <w:t>Ancillary Agreements</w:t>
      </w:r>
      <w:r>
        <w:rPr>
          <w:rFonts w:ascii="Times New Roman" w:hAnsi="Times New Roman"/>
          <w:sz w:val="20"/>
        </w:rPr>
        <w:t xml:space="preserve">” means each agreement, instrument or document attached to the Merger Agreement or executed or delivered by any party to the Merger Agreement in connection with or pursuant to the Merger Agreement. </w:t>
      </w:r>
    </w:p>
    <w:p>
      <w:pPr>
        <w:pStyle w:val="TextBody"/>
        <w:bidi w:val="0"/>
        <w:spacing w:before="240" w:after="0"/>
        <w:jc w:val="left"/>
        <w:rPr/>
      </w:pPr>
      <w:r>
        <w:rPr/>
        <w:t>“</w:t>
      </w:r>
      <w:r>
        <w:rPr>
          <w:rFonts w:ascii="Times New Roman" w:hAnsi="Times New Roman"/>
          <w:b/>
          <w:sz w:val="20"/>
        </w:rPr>
        <w:t>Assumed Options</w:t>
      </w:r>
      <w:r>
        <w:rPr>
          <w:rFonts w:ascii="Times New Roman" w:hAnsi="Times New Roman"/>
          <w:sz w:val="20"/>
        </w:rPr>
        <w:t xml:space="preserve">” means the Assumed Unvested Company Options and the Assumed Vested Company Options. </w:t>
      </w:r>
    </w:p>
    <w:p>
      <w:pPr>
        <w:pStyle w:val="TextBody"/>
        <w:bidi w:val="0"/>
        <w:spacing w:before="240" w:after="0"/>
        <w:jc w:val="left"/>
        <w:rPr/>
      </w:pPr>
      <w:r>
        <w:rPr/>
        <w:t>“</w:t>
      </w:r>
      <w:r>
        <w:rPr>
          <w:rFonts w:ascii="Times New Roman" w:hAnsi="Times New Roman"/>
          <w:b/>
          <w:sz w:val="20"/>
        </w:rPr>
        <w:t>Assumed Unvested Company Options</w:t>
      </w:r>
      <w:r>
        <w:rPr>
          <w:rFonts w:ascii="Times New Roman" w:hAnsi="Times New Roman"/>
          <w:sz w:val="20"/>
        </w:rPr>
        <w:t xml:space="preserve">” means the options to purchase shares of Common Stock which, upon consummation of the Mergers, replaced the Company In-the-Money Unvested Options outstanding and unexercised as of immediately prior to the First Effective Time. </w:t>
      </w:r>
    </w:p>
    <w:p>
      <w:pPr>
        <w:pStyle w:val="TextBody"/>
        <w:bidi w:val="0"/>
        <w:spacing w:before="240" w:after="0"/>
        <w:jc w:val="left"/>
        <w:rPr/>
      </w:pPr>
      <w:r>
        <w:rPr/>
        <w:t>“</w:t>
      </w:r>
      <w:r>
        <w:rPr>
          <w:rFonts w:ascii="Times New Roman" w:hAnsi="Times New Roman"/>
          <w:b/>
          <w:sz w:val="20"/>
        </w:rPr>
        <w:t>Assumed Vested Company Options</w:t>
      </w:r>
      <w:r>
        <w:rPr>
          <w:rFonts w:ascii="Times New Roman" w:hAnsi="Times New Roman"/>
          <w:sz w:val="20"/>
        </w:rPr>
        <w:t xml:space="preserve">” means the options to purchase shares of Common Stock which, upon consummation of the Mergers, replaced the Company In-the-Money Vested Options outstanding and unexercised as of immediately prior to the First Effective Time. </w:t>
      </w:r>
    </w:p>
    <w:p>
      <w:pPr>
        <w:pStyle w:val="TextBody"/>
        <w:bidi w:val="0"/>
        <w:spacing w:before="240" w:after="0"/>
        <w:jc w:val="left"/>
        <w:rPr/>
      </w:pPr>
      <w:r>
        <w:rPr/>
        <w:t>“</w:t>
      </w:r>
      <w:r>
        <w:rPr>
          <w:rFonts w:ascii="Times New Roman" w:hAnsi="Times New Roman"/>
          <w:b/>
          <w:sz w:val="20"/>
        </w:rPr>
        <w:t>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Bonus Shares</w:t>
      </w:r>
      <w:r>
        <w:rPr>
          <w:rFonts w:ascii="Times New Roman" w:hAnsi="Times New Roman"/>
          <w:sz w:val="20"/>
        </w:rPr>
        <w:t xml:space="preserve">” means the Incentive Founder Shares deliverable to the SAFE Investors as “bonus” shares pursuant to and in accordance with the terms of the Teamshares SAFEs. </w:t>
      </w:r>
    </w:p>
    <w:p>
      <w:pPr>
        <w:pStyle w:val="TextBody"/>
        <w:bidi w:val="0"/>
        <w:spacing w:before="240" w:after="0"/>
        <w:jc w:val="left"/>
        <w:rPr/>
      </w:pPr>
      <w:r>
        <w:rPr/>
        <w:t>“</w:t>
      </w:r>
      <w:r>
        <w:rPr>
          <w:rFonts w:ascii="Times New Roman" w:hAnsi="Times New Roman"/>
          <w:b/>
          <w:sz w:val="20"/>
        </w:rPr>
        <w:t>Business Combination</w:t>
      </w:r>
      <w:r>
        <w:rPr>
          <w:rFonts w:ascii="Times New Roman" w:hAnsi="Times New Roman"/>
          <w:sz w:val="20"/>
        </w:rPr>
        <w:t xml:space="preserve">” means the transactions contemplated by the Merger Agreement. </w:t>
      </w:r>
    </w:p>
    <w:p>
      <w:pPr>
        <w:pStyle w:val="TextBody"/>
        <w:bidi w:val="0"/>
        <w:spacing w:before="240" w:after="0"/>
        <w:jc w:val="left"/>
        <w:rPr/>
      </w:pPr>
      <w:r>
        <w:rPr/>
        <w:t>“</w:t>
      </w:r>
      <w:r>
        <w:rPr>
          <w:rFonts w:ascii="Times New Roman" w:hAnsi="Times New Roman"/>
          <w:b/>
          <w:sz w:val="20"/>
        </w:rPr>
        <w:t>Bylaws</w:t>
      </w:r>
      <w:r>
        <w:rPr>
          <w:rFonts w:ascii="Times New Roman" w:hAnsi="Times New Roman"/>
          <w:sz w:val="20"/>
        </w:rPr>
        <w:t xml:space="preserve">” means the new bylaws of Teamshares Inc. pursuant to the DGCL. </w:t>
      </w:r>
    </w:p>
    <w:p>
      <w:pPr>
        <w:pStyle w:val="TextBody"/>
        <w:bidi w:val="0"/>
        <w:spacing w:before="240" w:after="0"/>
        <w:jc w:val="left"/>
        <w:rPr/>
      </w:pPr>
      <w:r>
        <w:rPr/>
        <w:t>“</w:t>
      </w:r>
      <w:r>
        <w:rPr>
          <w:rFonts w:ascii="Times New Roman" w:hAnsi="Times New Roman"/>
          <w:b/>
          <w:sz w:val="20"/>
        </w:rPr>
        <w:t>Charter</w:t>
      </w:r>
      <w:r>
        <w:rPr>
          <w:rFonts w:ascii="Times New Roman" w:hAnsi="Times New Roman"/>
          <w:sz w:val="20"/>
        </w:rPr>
        <w:t xml:space="preserve">” means the certificate of incorporation of Teamshares Inc. pursuant to the DGCL.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means the closing of the Business Combination.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means June 18, 2026, the date the Closing occurred. </w:t>
      </w:r>
    </w:p>
    <w:p>
      <w:pPr>
        <w:pStyle w:val="TextBody"/>
        <w:bidi w:val="0"/>
        <w:spacing w:before="240" w:after="0"/>
        <w:jc w:val="left"/>
        <w:rPr/>
      </w:pPr>
      <w:r>
        <w:rPr/>
        <w:t>“</w:t>
      </w:r>
      <w:r>
        <w:rPr>
          <w:rFonts w:ascii="Times New Roman" w:hAnsi="Times New Roman"/>
          <w:b/>
          <w:sz w:val="20"/>
        </w:rPr>
        <w:t>Closing PIPE Investment</w:t>
      </w:r>
      <w:r>
        <w:rPr>
          <w:rFonts w:ascii="Times New Roman" w:hAnsi="Times New Roman"/>
          <w:sz w:val="20"/>
        </w:rPr>
        <w:t xml:space="preserve">” means the Initial Closing PIPE Investment and the Additional Closing PIPE Investments.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rPr>
        <w:t>Company Class A Voting Common Stock</w:t>
      </w:r>
      <w:r>
        <w:rPr>
          <w:rFonts w:ascii="Times New Roman" w:hAnsi="Times New Roman"/>
          <w:sz w:val="20"/>
        </w:rPr>
        <w:t xml:space="preserve">” means the Class A voting common stock, par value $0.00001 per share, of Legacy Teamshares. </w:t>
      </w:r>
    </w:p>
    <w:p>
      <w:pPr>
        <w:pStyle w:val="TextBody"/>
        <w:bidi w:val="0"/>
        <w:spacing w:before="240" w:after="0"/>
        <w:jc w:val="left"/>
        <w:rPr/>
      </w:pPr>
      <w:r>
        <w:rPr/>
        <w:t>“</w:t>
      </w:r>
      <w:r>
        <w:rPr>
          <w:rFonts w:ascii="Times New Roman" w:hAnsi="Times New Roman"/>
          <w:b/>
          <w:sz w:val="20"/>
        </w:rPr>
        <w:t>Company Class B Voting Common Stock</w:t>
      </w:r>
      <w:r>
        <w:rPr>
          <w:rFonts w:ascii="Times New Roman" w:hAnsi="Times New Roman"/>
          <w:sz w:val="20"/>
        </w:rPr>
        <w:t xml:space="preserve">” means the Class B voting common stock, par value $0.00001 per share, of Legacy Teamshares.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Company Common Stock</w:t>
      </w:r>
      <w:r>
        <w:rPr>
          <w:rFonts w:ascii="Times New Roman" w:hAnsi="Times New Roman"/>
          <w:sz w:val="20"/>
        </w:rPr>
        <w:t xml:space="preserve">” means the Company Class A Voting Common Stock and the Company Class B Voting Common Stock.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means the common stock of Teamshares Inc., par value $0.0001 per share. </w:t>
      </w:r>
    </w:p>
    <w:p>
      <w:pPr>
        <w:pStyle w:val="TextBody"/>
        <w:bidi w:val="0"/>
        <w:spacing w:before="240" w:after="0"/>
        <w:jc w:val="left"/>
        <w:rPr/>
      </w:pPr>
      <w:r>
        <w:rPr/>
        <w:t>“</w:t>
      </w:r>
      <w:r>
        <w:rPr>
          <w:rFonts w:ascii="Times New Roman" w:hAnsi="Times New Roman"/>
          <w:b/>
          <w:sz w:val="20"/>
        </w:rPr>
        <w:t>Company Stockholders</w:t>
      </w:r>
      <w:r>
        <w:rPr>
          <w:rFonts w:ascii="Times New Roman" w:hAnsi="Times New Roman"/>
          <w:sz w:val="20"/>
        </w:rPr>
        <w:t xml:space="preserve">” means, collectively, the holders of Common Stock. </w:t>
      </w:r>
    </w:p>
    <w:p>
      <w:pPr>
        <w:pStyle w:val="TextBody"/>
        <w:bidi w:val="0"/>
        <w:spacing w:before="240" w:after="0"/>
        <w:jc w:val="left"/>
        <w:rPr/>
      </w:pPr>
      <w:r>
        <w:rPr/>
        <w:t>“</w:t>
      </w:r>
      <w:r>
        <w:rPr>
          <w:rFonts w:ascii="Times New Roman" w:hAnsi="Times New Roman"/>
          <w:b/>
          <w:sz w:val="20"/>
        </w:rPr>
        <w:t>Conversion Ratio</w:t>
      </w:r>
      <w:r>
        <w:rPr>
          <w:rFonts w:ascii="Times New Roman" w:hAnsi="Times New Roman"/>
          <w:sz w:val="20"/>
        </w:rPr>
        <w:t xml:space="preserve">” means a fraction equal to (i) the Per Share Price, divided by (ii) $10.00. </w:t>
      </w:r>
    </w:p>
    <w:p>
      <w:pPr>
        <w:pStyle w:val="TextBody"/>
        <w:bidi w:val="0"/>
        <w:spacing w:before="240" w:after="0"/>
        <w:jc w:val="left"/>
        <w:rPr/>
      </w:pPr>
      <w:r>
        <w:rPr/>
        <w:t>“</w:t>
      </w:r>
      <w:r>
        <w:rPr>
          <w:rFonts w:ascii="Times New Roman" w:hAnsi="Times New Roman"/>
          <w:b/>
          <w:sz w:val="20"/>
        </w:rPr>
        <w:t>Deferred Founder Shares</w:t>
      </w:r>
      <w:r>
        <w:rPr>
          <w:rFonts w:ascii="Times New Roman" w:hAnsi="Times New Roman"/>
          <w:sz w:val="20"/>
        </w:rPr>
        <w:t xml:space="preserve">” means the 1,150,000 shares of Common Stock issuable, as restricted shares, at the Closing in respect of 1,150,000 Class B Ordinary Shares held by the Sponsor prior to the Domestication, which shares shall vest and cease to be subject to forfeiture only if certain trading price-based Founder Share Metrics (referred to herein as the Founder Shares Post-Closing Conditions) are satisfied during the Founder Share Measurement Period, in accordance with the terms of the Sponsor Letter Agreement. </w:t>
      </w:r>
    </w:p>
    <w:p>
      <w:pPr>
        <w:pStyle w:val="TextBody"/>
        <w:bidi w:val="0"/>
        <w:spacing w:before="240" w:after="0"/>
        <w:jc w:val="left"/>
        <w:rPr/>
      </w:pPr>
      <w:r>
        <w:rPr/>
        <w:t>“</w:t>
      </w:r>
      <w:r>
        <w:rPr>
          <w:rFonts w:ascii="Times New Roman" w:hAnsi="Times New Roman"/>
          <w:b/>
          <w:sz w:val="20"/>
        </w:rPr>
        <w:t>DGCL</w:t>
      </w:r>
      <w:r>
        <w:rPr>
          <w:rFonts w:ascii="Times New Roman" w:hAnsi="Times New Roman"/>
          <w:sz w:val="20"/>
        </w:rPr>
        <w:t xml:space="preserve">” means the Delaware General Corporation Law. </w:t>
      </w:r>
    </w:p>
    <w:p>
      <w:pPr>
        <w:pStyle w:val="TextBody"/>
        <w:bidi w:val="0"/>
        <w:spacing w:before="240" w:after="0"/>
        <w:jc w:val="left"/>
        <w:rPr/>
      </w:pPr>
      <w:r>
        <w:rPr/>
        <w:t>“</w:t>
      </w:r>
      <w:r>
        <w:rPr>
          <w:rFonts w:ascii="Times New Roman" w:hAnsi="Times New Roman"/>
          <w:b/>
          <w:sz w:val="20"/>
        </w:rPr>
        <w:t>Effective Time</w:t>
      </w:r>
      <w:r>
        <w:rPr>
          <w:rFonts w:ascii="Times New Roman" w:hAnsi="Times New Roman"/>
          <w:sz w:val="20"/>
        </w:rPr>
        <w:t xml:space="preserve">” means the time at which Merger Sub and Legacy Teamshares consummated the Merger. </w:t>
      </w:r>
    </w:p>
    <w:p>
      <w:pPr>
        <w:pStyle w:val="TextBody"/>
        <w:bidi w:val="0"/>
        <w:spacing w:before="240" w:after="0"/>
        <w:jc w:val="left"/>
        <w:rPr/>
      </w:pPr>
      <w:r>
        <w:rPr/>
        <w:t>“</w:t>
      </w:r>
      <w:r>
        <w:rPr>
          <w:rFonts w:ascii="Times New Roman" w:hAnsi="Times New Roman"/>
          <w:b/>
          <w:sz w:val="20"/>
        </w:rPr>
        <w:t>Earnout Participants</w:t>
      </w:r>
      <w:r>
        <w:rPr>
          <w:rFonts w:ascii="Times New Roman" w:hAnsi="Times New Roman"/>
          <w:sz w:val="20"/>
        </w:rPr>
        <w:t xml:space="preserve">” means (i) Teamshares Stockholders as of immediately prior to the First Effective Time (excluding Liquidation Preference Electing Holders relative to Liquidation Preference Election Shares) and (ii) Eligible Optionholders who satisfy the Eligibility Conditions as of immediately prior to a Earnout Trigger Date, in each case in accordance with the terms of the Merger Agreement. </w:t>
      </w:r>
    </w:p>
    <w:p>
      <w:pPr>
        <w:pStyle w:val="TextBody"/>
        <w:bidi w:val="0"/>
        <w:spacing w:before="240" w:after="0"/>
        <w:jc w:val="left"/>
        <w:rPr/>
      </w:pPr>
      <w:r>
        <w:rPr/>
        <w:t>“</w:t>
      </w:r>
      <w:r>
        <w:rPr>
          <w:rFonts w:ascii="Times New Roman" w:hAnsi="Times New Roman"/>
          <w:b/>
          <w:sz w:val="20"/>
        </w:rPr>
        <w:t>Earnout Optionholder</w:t>
      </w:r>
      <w:r>
        <w:rPr>
          <w:rFonts w:ascii="Times New Roman" w:hAnsi="Times New Roman"/>
          <w:sz w:val="20"/>
        </w:rPr>
        <w:t xml:space="preserve">” means, with respect to an Earnout Triggering Event, an Eligible Optionholder who remains continuously employed by, or in service with, the Company or its subsidiaries from the closing of the Business Combination until immediately prior to the applicable Earnout Triggering Event. An Eligible Optionholder who is an Earnout Optionholder with respect to an Earnout Triggering Event shall be an Earnout Participant with respect to such Earnout Triggering Event. </w:t>
      </w:r>
    </w:p>
    <w:p>
      <w:pPr>
        <w:pStyle w:val="TextBody"/>
        <w:bidi w:val="0"/>
        <w:spacing w:before="240" w:after="0"/>
        <w:jc w:val="left"/>
        <w:rPr/>
      </w:pPr>
      <w:r>
        <w:rPr/>
        <w:t>“</w:t>
      </w:r>
      <w:r>
        <w:rPr>
          <w:rFonts w:ascii="Times New Roman" w:hAnsi="Times New Roman"/>
          <w:b/>
          <w:sz w:val="20"/>
        </w:rPr>
        <w:t>Earnout Period</w:t>
      </w:r>
      <w:r>
        <w:rPr>
          <w:rFonts w:ascii="Times New Roman" w:hAnsi="Times New Roman"/>
          <w:sz w:val="20"/>
        </w:rPr>
        <w:t xml:space="preserve">” means the period ending on the five-year anniversary of the Closing Date. </w:t>
      </w:r>
    </w:p>
    <w:p>
      <w:pPr>
        <w:pStyle w:val="TextBody"/>
        <w:bidi w:val="0"/>
        <w:spacing w:before="240" w:after="0"/>
        <w:jc w:val="left"/>
        <w:rPr/>
      </w:pPr>
      <w:r>
        <w:rPr/>
        <w:t>“</w:t>
      </w:r>
      <w:r>
        <w:rPr>
          <w:rFonts w:ascii="Times New Roman" w:hAnsi="Times New Roman"/>
          <w:b/>
          <w:sz w:val="20"/>
        </w:rPr>
        <w:t>Earnout Pro Rata Share</w:t>
      </w:r>
      <w:r>
        <w:rPr>
          <w:rFonts w:ascii="Times New Roman" w:hAnsi="Times New Roman"/>
          <w:sz w:val="20"/>
        </w:rPr>
        <w:t xml:space="preserve">” with respect to an Earnout Triggering Event means: (a) each Earnout Participant who is a holder of outstanding shares of Company Stock as of immediately prior to the First Effective Time, a fraction expressed as a percentage equal to (i) the total number of shares of Company Stock held by a Company Stockholder as of immediately prior to the First Effective Time divided by (ii) the Fully Diluted Company Shares, provided, that solely for the purpose of this definition of “Earnout Pro Rata Share”, the term “Fully Diluted Company Shares” shall (A) include the aggregate number of shares of Company Common Stock issuable upon exercise of the Company Options (both vested and unvested) as of immediately prior to the First Effective Time that were then-held by an Earnout Optionholder and (B) exclude Liquidation Preference Election Shares (this clause (ii), the “Earnout Denominator”); and (b) each Earnout Participant who is an Earnout Optionholder, a fraction expressed as a percentage equal to (i) the number of shares of Company Common Stock issued or issuable upon exercise of such holder’s Company Options (both vested and unvested) as of immediately prior to the First Effective Time, divided by (ii) the Earnout Denominator. For clarity, the Earnout Pro Rata Share with respect to each Earnout Triggering Event shall be reassessed to reflect the Earnout Optionholders who remained continuously employed by, or in service with the Company or its Subsidiaries, as of immediately prior to such Earnout Triggering Event; as such, the Earnout Denominator will not include any Company Options held by an Eligible Optionholder who is not an Earnout Optionholder with respect to such Earnout Triggering Event. </w:t>
      </w:r>
    </w:p>
    <w:p>
      <w:pPr>
        <w:pStyle w:val="TextBody"/>
        <w:bidi w:val="0"/>
        <w:spacing w:before="240" w:after="0"/>
        <w:jc w:val="left"/>
        <w:rPr/>
      </w:pPr>
      <w:r>
        <w:rPr/>
        <w:t>“</w:t>
      </w:r>
      <w:r>
        <w:rPr>
          <w:rFonts w:ascii="Times New Roman" w:hAnsi="Times New Roman"/>
          <w:b/>
          <w:sz w:val="20"/>
        </w:rPr>
        <w:t>Earnout Share Price Targets</w:t>
      </w:r>
      <w:r>
        <w:rPr>
          <w:rFonts w:ascii="Times New Roman" w:hAnsi="Times New Roman"/>
          <w:sz w:val="20"/>
        </w:rPr>
        <w:t xml:space="preserve">” means, collectively, the Earnout Tier I Share Price Target ($12.00 per share), Earnout Tier II Share Price Target ($15.00 per share) and Earnout Tier III Share Price Target ($20.00 per share), in each case as adjusted for stock splits, stock dividends, reorganizations, and recapitalizations.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Earnout Shares</w:t>
      </w:r>
      <w:r>
        <w:rPr>
          <w:rFonts w:ascii="Times New Roman" w:hAnsi="Times New Roman"/>
          <w:sz w:val="20"/>
        </w:rPr>
        <w:t xml:space="preserve">” means the up to 6,000,000 Common Stock that may become issuable to Earnout Participants, subject to satisfaction of certain Earnout Conditions set forth in the Merger Agreement, which include trading price-based Earnout Triggering Events and, with respect to certain Earnout Participants, satisfaction of Eligibility Conditions at the time, if any, of the occurrence of such Earnout Triggering Events. </w:t>
      </w:r>
    </w:p>
    <w:p>
      <w:pPr>
        <w:pStyle w:val="TextBody"/>
        <w:bidi w:val="0"/>
        <w:spacing w:before="240" w:after="0"/>
        <w:jc w:val="left"/>
        <w:rPr/>
      </w:pPr>
      <w:r>
        <w:rPr/>
        <w:t>“</w:t>
      </w:r>
      <w:r>
        <w:rPr>
          <w:rFonts w:ascii="Times New Roman" w:hAnsi="Times New Roman"/>
          <w:b/>
          <w:sz w:val="20"/>
        </w:rPr>
        <w:t>Earnout Tier I Share Price Target</w:t>
      </w:r>
      <w:r>
        <w:rPr>
          <w:rFonts w:ascii="Times New Roman" w:hAnsi="Times New Roman"/>
          <w:sz w:val="20"/>
        </w:rPr>
        <w:t xml:space="preserve">” means the condition that the New Teamshares VWAP equals or exceeds $12.00 per share (as adjusted for stock splits, stock dividends, reorganizations and recapitalizations) for any twenty (20) Trading Days within any consecutive thirty (30) Trading Day period commencing at least 150 days after the Closing Date but prior to the expiration of the Earnout Period. </w:t>
      </w:r>
    </w:p>
    <w:p>
      <w:pPr>
        <w:pStyle w:val="TextBody"/>
        <w:bidi w:val="0"/>
        <w:spacing w:before="240" w:after="0"/>
        <w:jc w:val="left"/>
        <w:rPr/>
      </w:pPr>
      <w:r>
        <w:rPr/>
        <w:t>“</w:t>
      </w:r>
      <w:r>
        <w:rPr>
          <w:rFonts w:ascii="Times New Roman" w:hAnsi="Times New Roman"/>
          <w:b/>
          <w:sz w:val="20"/>
        </w:rPr>
        <w:t>Earnout Tier II Share Price Target</w:t>
      </w:r>
      <w:r>
        <w:rPr>
          <w:rFonts w:ascii="Times New Roman" w:hAnsi="Times New Roman"/>
          <w:sz w:val="20"/>
        </w:rPr>
        <w:t xml:space="preserve">” means the condition that the New Teamshares VWAP equals or exceeds $15.00 per share (as adjusted for stock splits, stock dividends, reorganizations and recapitalizations) for any twenty (20) Trading Days within any consecutive thirty (30) Trading Day period commencing at least 150 days after the Closing Date but prior to the expiration of the Earnout Period. </w:t>
      </w:r>
    </w:p>
    <w:p>
      <w:pPr>
        <w:pStyle w:val="TextBody"/>
        <w:bidi w:val="0"/>
        <w:spacing w:before="240" w:after="0"/>
        <w:jc w:val="left"/>
        <w:rPr/>
      </w:pPr>
      <w:r>
        <w:rPr/>
        <w:t>“</w:t>
      </w:r>
      <w:r>
        <w:rPr>
          <w:rFonts w:ascii="Times New Roman" w:hAnsi="Times New Roman"/>
          <w:b/>
          <w:sz w:val="20"/>
        </w:rPr>
        <w:t>Earnout Tier III Share Price Target</w:t>
      </w:r>
      <w:r>
        <w:rPr>
          <w:rFonts w:ascii="Times New Roman" w:hAnsi="Times New Roman"/>
          <w:sz w:val="20"/>
        </w:rPr>
        <w:t xml:space="preserve">” means the condition that the New Teamshares VWAP equals or exceeds $20.00 per share (as adjusted for stock splits, stock dividends, reorganizations and recapitalizations) for any twenty (20) Trading Days within any consecutive thirty (30) Trading Day period commencing at least 150 days after the Closing Date but prior to the expiration of the Earnout Period. </w:t>
      </w:r>
    </w:p>
    <w:p>
      <w:pPr>
        <w:pStyle w:val="TextBody"/>
        <w:bidi w:val="0"/>
        <w:spacing w:before="240" w:after="0"/>
        <w:jc w:val="left"/>
        <w:rPr/>
      </w:pPr>
      <w:r>
        <w:rPr/>
        <w:t>“</w:t>
      </w:r>
      <w:r>
        <w:rPr>
          <w:rFonts w:ascii="Times New Roman" w:hAnsi="Times New Roman"/>
          <w:b/>
          <w:sz w:val="20"/>
        </w:rPr>
        <w:t>Earnout Trigger Date</w:t>
      </w:r>
      <w:r>
        <w:rPr>
          <w:rFonts w:ascii="Times New Roman" w:hAnsi="Times New Roman"/>
          <w:sz w:val="20"/>
        </w:rPr>
        <w:t xml:space="preserve">” means the date of occurrence, if any, of an Earnout Triggering Event. </w:t>
      </w:r>
    </w:p>
    <w:p>
      <w:pPr>
        <w:pStyle w:val="TextBody"/>
        <w:bidi w:val="0"/>
        <w:spacing w:before="240" w:after="0"/>
        <w:jc w:val="left"/>
        <w:rPr/>
      </w:pPr>
      <w:r>
        <w:rPr/>
        <w:t>“</w:t>
      </w:r>
      <w:r>
        <w:rPr>
          <w:rFonts w:ascii="Times New Roman" w:hAnsi="Times New Roman"/>
          <w:b/>
          <w:sz w:val="20"/>
        </w:rPr>
        <w:t>Earnout Triggering Events</w:t>
      </w:r>
      <w:r>
        <w:rPr>
          <w:rFonts w:ascii="Times New Roman" w:hAnsi="Times New Roman"/>
          <w:sz w:val="20"/>
        </w:rPr>
        <w:t xml:space="preserve">” means the occurrence of an event, during the Earnout Period, giving rise to the issuance of certain Earnout Shares under the terms of the Merger Agreement, consisting of either (i) the achievement of certain post-Closing Earnout Share Price Targets by the Common Stock or (ii) the occurrence of a Qualifying Change of Control Transaction. </w:t>
      </w:r>
    </w:p>
    <w:p>
      <w:pPr>
        <w:pStyle w:val="TextBody"/>
        <w:bidi w:val="0"/>
        <w:spacing w:before="240" w:after="0"/>
        <w:jc w:val="left"/>
        <w:rPr/>
      </w:pPr>
      <w:r>
        <w:rPr/>
        <w:t>“</w:t>
      </w:r>
      <w:r>
        <w:rPr>
          <w:rFonts w:ascii="Times New Roman" w:hAnsi="Times New Roman"/>
          <w:b/>
          <w:sz w:val="20"/>
        </w:rPr>
        <w:t>Eligible Optionholder</w:t>
      </w:r>
      <w:r>
        <w:rPr>
          <w:rFonts w:ascii="Times New Roman" w:hAnsi="Times New Roman"/>
          <w:sz w:val="20"/>
        </w:rPr>
        <w:t xml:space="preserve">” means a holder of Assumed Options who is employed by, or in service with the Surviving Corporation or its subsidiaries as of immediately following the First Effective Time. </w:t>
      </w:r>
    </w:p>
    <w:p>
      <w:pPr>
        <w:pStyle w:val="TextBody"/>
        <w:bidi w:val="0"/>
        <w:spacing w:before="240" w:after="0"/>
        <w:jc w:val="left"/>
        <w:rPr/>
      </w:pPr>
      <w:r>
        <w:rPr/>
        <w:t>“</w:t>
      </w:r>
      <w:r>
        <w:rPr>
          <w:rFonts w:ascii="Times New Roman" w:hAnsi="Times New Roman"/>
          <w:b/>
          <w:sz w:val="20"/>
        </w:rPr>
        <w:t>Eligibility Conditions</w:t>
      </w:r>
      <w:r>
        <w:rPr>
          <w:rFonts w:ascii="Times New Roman" w:hAnsi="Times New Roman"/>
          <w:sz w:val="20"/>
        </w:rPr>
        <w:t xml:space="preserve">” means the conditions, set forth in the Merger Agreement, that an Eligible Optionholder must, as of immediately prior to an applicable Earnout Trigger Date, remained continuously employed by, or in service with, the Surviving Entity or its subsidiaries from the Closing Date until such Earnout Trigger Date, in order to qualify as an Earnout Participant relative to a distribution of Earnout Shares in connection with and upon the occurrence of such Earnout Trigger Date, if any. </w:t>
      </w:r>
    </w:p>
    <w:p>
      <w:pPr>
        <w:pStyle w:val="TextBody"/>
        <w:bidi w:val="0"/>
        <w:spacing w:before="240" w:after="0"/>
        <w:jc w:val="left"/>
        <w:rPr/>
      </w:pPr>
      <w:r>
        <w:rPr/>
        <w:t>“</w:t>
      </w:r>
      <w:r>
        <w:rPr>
          <w:rFonts w:ascii="Times New Roman" w:hAnsi="Times New Roman"/>
          <w:b/>
          <w:sz w:val="20"/>
        </w:rPr>
        <w:t>Effective Time</w:t>
      </w:r>
      <w:r>
        <w:rPr>
          <w:rFonts w:ascii="Times New Roman" w:hAnsi="Times New Roman"/>
          <w:sz w:val="20"/>
        </w:rPr>
        <w:t xml:space="preserve">” means the First Effective Time and the Second Effective Time. </w:t>
      </w:r>
    </w:p>
    <w:p>
      <w:pPr>
        <w:pStyle w:val="TextBody"/>
        <w:bidi w:val="0"/>
        <w:spacing w:before="240" w:after="0"/>
        <w:jc w:val="left"/>
        <w:rPr/>
      </w:pPr>
      <w:r>
        <w:rPr/>
        <w:t>“</w:t>
      </w:r>
      <w:r>
        <w:rPr>
          <w:rFonts w:ascii="Times New Roman" w:hAnsi="Times New Roman"/>
          <w:b/>
          <w:sz w:val="20"/>
        </w:rPr>
        <w:t>Eligible Preferred Holders</w:t>
      </w:r>
      <w:r>
        <w:rPr>
          <w:rFonts w:ascii="Times New Roman" w:hAnsi="Times New Roman"/>
          <w:sz w:val="20"/>
        </w:rPr>
        <w:t xml:space="preserve">” means the holders of outstanding shares of Company Series C-1 Preferred Stock, Company Series C-2 Preferred Stock, Company Series D-1 Preferred Stock, Company Series D-2 Preferred Stock, Company Series D-NV Preferred Stock, Company Series E-1 Preferred Stock and Company Series E-NV Preferred Stock that were offered the ability to make Liquidation Preference Elections in accordance with the terms of the Liquidation Preference Election and Waiver Documents. </w:t>
      </w:r>
    </w:p>
    <w:p>
      <w:pPr>
        <w:pStyle w:val="TextBody"/>
        <w:bidi w:val="0"/>
        <w:spacing w:before="240" w:after="0"/>
        <w:jc w:val="left"/>
        <w:rPr/>
      </w:pPr>
      <w:r>
        <w:rPr/>
        <w:t>“</w:t>
      </w:r>
      <w:r>
        <w:rPr>
          <w:rFonts w:ascii="Times New Roman" w:hAnsi="Times New Roman"/>
          <w:b/>
          <w:sz w:val="20"/>
        </w:rPr>
        <w:t>Eligible Preferred Shares</w:t>
      </w:r>
      <w:r>
        <w:rPr>
          <w:rFonts w:ascii="Times New Roman" w:hAnsi="Times New Roman"/>
          <w:sz w:val="20"/>
        </w:rPr>
        <w:t xml:space="preserve">” means shares of outstanding Company Series C-1 Preferred Stock, Company Series C-2 Preferred Stock, Company Series D-1 Preferred Stock, Company Series D-2 Preferred Stock, Company Series D-NV Preferred Stock, Company Series E-1 Preferred Stock and Company Series E-NV Preferred Stock. </w:t>
      </w:r>
    </w:p>
    <w:p>
      <w:pPr>
        <w:pStyle w:val="TextBody"/>
        <w:bidi w:val="0"/>
        <w:spacing w:before="240" w:after="0"/>
        <w:jc w:val="left"/>
        <w:rPr/>
      </w:pPr>
      <w:r>
        <w:rPr/>
        <w:t>“</w:t>
      </w:r>
      <w:r>
        <w:rPr>
          <w:rFonts w:ascii="Times New Roman" w:hAnsi="Times New Roman"/>
          <w:b/>
          <w:sz w:val="20"/>
        </w:rPr>
        <w:t>ESPP</w:t>
      </w:r>
      <w:r>
        <w:rPr>
          <w:rFonts w:ascii="Times New Roman" w:hAnsi="Times New Roman"/>
          <w:sz w:val="20"/>
        </w:rPr>
        <w:t xml:space="preserve">” means the Teamshares Inc. 2026 Employee Stock Purchase Plan.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FCPA</w:t>
      </w:r>
      <w:r>
        <w:rPr>
          <w:rFonts w:ascii="Times New Roman" w:hAnsi="Times New Roman"/>
          <w:sz w:val="20"/>
        </w:rPr>
        <w:t xml:space="preserve">” means the Foreign Corrupt Practices Act of 1977,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First MA Amendment</w:t>
      </w:r>
      <w:r>
        <w:rPr>
          <w:rFonts w:ascii="Times New Roman" w:hAnsi="Times New Roman"/>
          <w:sz w:val="20"/>
        </w:rPr>
        <w:t xml:space="preserve">” means that certain First Amendment, dated as of April 1, 2026, to the Original Merger Agreement entered into by Live Oak, Legacy Teamshares and the other parties to the Original Merger Agreement. </w:t>
      </w:r>
    </w:p>
    <w:p>
      <w:pPr>
        <w:pStyle w:val="TextBody"/>
        <w:bidi w:val="0"/>
        <w:spacing w:before="240" w:after="0"/>
        <w:jc w:val="left"/>
        <w:rPr/>
      </w:pPr>
      <w:r>
        <w:rPr/>
        <w:t>“</w:t>
      </w:r>
      <w:r>
        <w:rPr>
          <w:rFonts w:ascii="Times New Roman" w:hAnsi="Times New Roman"/>
          <w:b/>
          <w:sz w:val="20"/>
        </w:rPr>
        <w:t>First Merger</w:t>
      </w:r>
      <w:r>
        <w:rPr>
          <w:rFonts w:ascii="Times New Roman" w:hAnsi="Times New Roman"/>
          <w:sz w:val="20"/>
        </w:rPr>
        <w:t xml:space="preserve">” means the merger, in accordance with the terms of the Merger Agreement, of Merger Sub with and into Legacy Teamshares, with Legacy Teamshares continuing as a wholly-owned subsidiary of Live Oak referred to as the Surviving Corporation. </w:t>
      </w:r>
    </w:p>
    <w:p>
      <w:pPr>
        <w:pStyle w:val="TextBody"/>
        <w:bidi w:val="0"/>
        <w:spacing w:before="240" w:after="0"/>
        <w:jc w:val="left"/>
        <w:rPr/>
      </w:pPr>
      <w:r>
        <w:rPr/>
        <w:t>“</w:t>
      </w:r>
      <w:r>
        <w:rPr>
          <w:rFonts w:ascii="Times New Roman" w:hAnsi="Times New Roman"/>
          <w:b/>
          <w:sz w:val="20"/>
        </w:rPr>
        <w:t>First Effective Time</w:t>
      </w:r>
      <w:r>
        <w:rPr>
          <w:rFonts w:ascii="Times New Roman" w:hAnsi="Times New Roman"/>
          <w:sz w:val="20"/>
        </w:rPr>
        <w:t xml:space="preserve">” means the effective time of the First Merger. </w:t>
      </w:r>
    </w:p>
    <w:p>
      <w:pPr>
        <w:pStyle w:val="TextBody"/>
        <w:bidi w:val="0"/>
        <w:spacing w:before="240" w:after="0"/>
        <w:jc w:val="left"/>
        <w:rPr/>
      </w:pPr>
      <w:r>
        <w:rPr/>
        <w:t>“</w:t>
      </w:r>
      <w:r>
        <w:rPr>
          <w:rFonts w:ascii="Times New Roman" w:hAnsi="Times New Roman"/>
          <w:b/>
          <w:sz w:val="20"/>
        </w:rPr>
        <w:t>Founder Shares</w:t>
      </w:r>
      <w:r>
        <w:rPr>
          <w:rFonts w:ascii="Times New Roman" w:hAnsi="Times New Roman"/>
          <w:sz w:val="20"/>
        </w:rPr>
        <w:t xml:space="preserve">” means the Live Oak Class B Shares. </w:t>
      </w:r>
    </w:p>
    <w:p>
      <w:pPr>
        <w:pStyle w:val="TextBody"/>
        <w:bidi w:val="0"/>
        <w:spacing w:before="240" w:after="0"/>
        <w:jc w:val="left"/>
        <w:rPr/>
      </w:pPr>
      <w:r>
        <w:rPr/>
        <w:t>“</w:t>
      </w:r>
      <w:r>
        <w:rPr>
          <w:rFonts w:ascii="Times New Roman" w:hAnsi="Times New Roman"/>
          <w:b/>
          <w:sz w:val="20"/>
        </w:rPr>
        <w:t>Founder Shares Post-Closing Conditions</w:t>
      </w:r>
      <w:r>
        <w:rPr>
          <w:rFonts w:ascii="Times New Roman" w:hAnsi="Times New Roman"/>
          <w:sz w:val="20"/>
        </w:rPr>
        <w:t xml:space="preserve">” means the conditions that must be satisfied during the Founder Shares Measurement Period in order for all or a portion of the Common Stock subject to the Founder Shares Post-Closing Condition to vest and cease to be subject to forfeiture in accordance with the terms of the Sponsor Letter Agreement. </w:t>
      </w:r>
    </w:p>
    <w:p>
      <w:pPr>
        <w:pStyle w:val="TextBody"/>
        <w:bidi w:val="0"/>
        <w:spacing w:before="240" w:after="0"/>
        <w:jc w:val="left"/>
        <w:rPr/>
      </w:pPr>
      <w:r>
        <w:rPr/>
        <w:t>“</w:t>
      </w:r>
      <w:r>
        <w:rPr>
          <w:rFonts w:ascii="Times New Roman" w:hAnsi="Times New Roman"/>
          <w:b/>
          <w:sz w:val="20"/>
        </w:rPr>
        <w:t>Founder Shares Measurement Period</w:t>
      </w:r>
      <w:r>
        <w:rPr>
          <w:rFonts w:ascii="Times New Roman" w:hAnsi="Times New Roman"/>
          <w:sz w:val="20"/>
        </w:rPr>
        <w:t xml:space="preserve">” means the period ending on the five-year anniversary of the Closing Date. </w:t>
      </w:r>
    </w:p>
    <w:p>
      <w:pPr>
        <w:pStyle w:val="TextBody"/>
        <w:bidi w:val="0"/>
        <w:spacing w:before="240" w:after="0"/>
        <w:jc w:val="left"/>
        <w:rPr/>
      </w:pPr>
      <w:r>
        <w:rPr/>
        <w:t>“</w:t>
      </w:r>
      <w:r>
        <w:rPr>
          <w:rFonts w:ascii="Times New Roman" w:hAnsi="Times New Roman"/>
          <w:b/>
          <w:sz w:val="20"/>
        </w:rPr>
        <w:t>Founder Share Price Targets</w:t>
      </w:r>
      <w:r>
        <w:rPr>
          <w:rFonts w:ascii="Times New Roman" w:hAnsi="Times New Roman"/>
          <w:sz w:val="20"/>
        </w:rPr>
        <w:t>” or “</w:t>
      </w:r>
      <w:r>
        <w:rPr>
          <w:rFonts w:ascii="Times New Roman" w:hAnsi="Times New Roman"/>
          <w:b/>
          <w:sz w:val="20"/>
        </w:rPr>
        <w:t>Founder Share Metrics</w:t>
      </w:r>
      <w:r>
        <w:rPr>
          <w:rFonts w:ascii="Times New Roman" w:hAnsi="Times New Roman"/>
          <w:sz w:val="20"/>
        </w:rPr>
        <w:t xml:space="preserve">” means the Founder Share Tier I Share Price Target, Founder Share Tier II Share Price Target and Founder Share Tier III Share Price Target. </w:t>
      </w:r>
    </w:p>
    <w:p>
      <w:pPr>
        <w:pStyle w:val="TextBody"/>
        <w:bidi w:val="0"/>
        <w:spacing w:before="240" w:after="0"/>
        <w:jc w:val="left"/>
        <w:rPr/>
      </w:pPr>
      <w:r>
        <w:rPr/>
        <w:t>“</w:t>
      </w:r>
      <w:r>
        <w:rPr>
          <w:rFonts w:ascii="Times New Roman" w:hAnsi="Times New Roman"/>
          <w:b/>
          <w:sz w:val="20"/>
        </w:rPr>
        <w:t>Founder Post-Closing Restricted Shares</w:t>
      </w:r>
      <w:r>
        <w:rPr>
          <w:rFonts w:ascii="Times New Roman" w:hAnsi="Times New Roman"/>
          <w:sz w:val="20"/>
        </w:rPr>
        <w:t xml:space="preserve">” means the up to 1,150,000 shares of Common Stock, if any, that from and after the Closing are subject to the Founder Shares Post-Closing Conditions in accordance with the terms of the Sponsor Letter Agreement, which may, subject to other factors, including related to potential financing transactions, include certain Deferred Founder Shares, certain Incentive Founder Shares, or both. </w:t>
      </w:r>
    </w:p>
    <w:p>
      <w:pPr>
        <w:pStyle w:val="TextBody"/>
        <w:bidi w:val="0"/>
        <w:spacing w:before="240" w:after="0"/>
        <w:jc w:val="left"/>
        <w:rPr/>
      </w:pPr>
      <w:r>
        <w:rPr/>
        <w:t>“</w:t>
      </w:r>
      <w:r>
        <w:rPr>
          <w:rFonts w:ascii="Times New Roman" w:hAnsi="Times New Roman"/>
          <w:b/>
          <w:sz w:val="20"/>
        </w:rPr>
        <w:t>Founder Share Tier I Share Price Target</w:t>
      </w:r>
      <w:r>
        <w:rPr>
          <w:rFonts w:ascii="Times New Roman" w:hAnsi="Times New Roman"/>
          <w:sz w:val="20"/>
        </w:rPr>
        <w:t xml:space="preserve">” means the condition that the New Teamshares VWAP equals or exceeds $12.00 per share (as adjusted for stock splits, stock dividends, reorganizations and recapitalizations) for any twenty (20) Trading Days within any consecutive thirty (30) Trading Day period commencing at least 150 days after the Closing Date but prior to the expiration of the Earnout Period. </w:t>
      </w:r>
    </w:p>
    <w:p>
      <w:pPr>
        <w:pStyle w:val="TextBody"/>
        <w:bidi w:val="0"/>
        <w:spacing w:before="240" w:after="0"/>
        <w:jc w:val="left"/>
        <w:rPr/>
      </w:pPr>
      <w:r>
        <w:rPr/>
        <w:t>“</w:t>
      </w:r>
      <w:r>
        <w:rPr>
          <w:rFonts w:ascii="Times New Roman" w:hAnsi="Times New Roman"/>
          <w:b/>
          <w:sz w:val="20"/>
        </w:rPr>
        <w:t>Founder Share Tier II Share Price Target</w:t>
      </w:r>
      <w:r>
        <w:rPr>
          <w:rFonts w:ascii="Times New Roman" w:hAnsi="Times New Roman"/>
          <w:sz w:val="20"/>
        </w:rPr>
        <w:t xml:space="preserve">” means the condition that the New Teamshares VWAP equals or exceeds $15.00 per share (as adjusted for stock splits, stock dividends, reorganizations and recapitalizations) for any twenty (20) Trading Days within any consecutive thirty (30) Trading Day period commencing at least 150 days after the Closing Date but prior to the expiration of the Earnout Period. </w:t>
      </w:r>
    </w:p>
    <w:p>
      <w:pPr>
        <w:pStyle w:val="TextBody"/>
        <w:bidi w:val="0"/>
        <w:spacing w:before="240" w:after="0"/>
        <w:jc w:val="left"/>
        <w:rPr/>
      </w:pPr>
      <w:r>
        <w:rPr/>
        <w:t>“</w:t>
      </w:r>
      <w:r>
        <w:rPr>
          <w:rFonts w:ascii="Times New Roman" w:hAnsi="Times New Roman"/>
          <w:b/>
          <w:sz w:val="20"/>
        </w:rPr>
        <w:t>Founder Share Triggering Events</w:t>
      </w:r>
      <w:r>
        <w:rPr>
          <w:rFonts w:ascii="Times New Roman" w:hAnsi="Times New Roman"/>
          <w:sz w:val="20"/>
        </w:rPr>
        <w:t xml:space="preserve">” means the occurrence of an event, if any, during the Founder Shares Measurement Period, giving rise to release of some or all of the Founder Post-Closing Restricted Shares from the restrictions and forfeiture conditions referred to herein as the Founder Shares Post-Closing Conditions, upon the occurrence of one or more of the Founder Shares Price Targets or a Qualifying Change of Control Transaction of New Teamshares.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generally accepted accounting principles as in effect in the United States of America. </w:t>
      </w:r>
    </w:p>
    <w:p>
      <w:pPr>
        <w:pStyle w:val="TextBody"/>
        <w:bidi w:val="0"/>
        <w:spacing w:before="240" w:after="0"/>
        <w:jc w:val="left"/>
        <w:rPr/>
      </w:pPr>
      <w:r>
        <w:rPr/>
        <w:t>“</w:t>
      </w:r>
      <w:r>
        <w:rPr>
          <w:rFonts w:ascii="Times New Roman" w:hAnsi="Times New Roman"/>
          <w:b/>
          <w:sz w:val="20"/>
        </w:rPr>
        <w:t>HBC-Teamshares Fee Letter</w:t>
      </w:r>
      <w:r>
        <w:rPr>
          <w:rFonts w:ascii="Times New Roman" w:hAnsi="Times New Roman"/>
          <w:sz w:val="20"/>
        </w:rPr>
        <w:t>” means the letter agreement between HBC Financing Partners Blocker LLC</w:t>
      </w:r>
      <w:r>
        <w:rPr>
          <w:rFonts w:ascii="Times New Roman" w:hAnsi="Times New Roman"/>
          <w:b/>
          <w:sz w:val="20"/>
        </w:rPr>
        <w:t xml:space="preserve">, </w:t>
      </w:r>
      <w:r>
        <w:rPr>
          <w:rFonts w:ascii="Times New Roman" w:hAnsi="Times New Roman"/>
          <w:sz w:val="20"/>
        </w:rPr>
        <w:t>Teamshares and certain Teamshares subsidiaries, dated as of December 23, 2025, entered into in connection with the HBC Facility pursuant to which, among other things, Teamshares agreed to pay HBC, in its capacity as Administrative Agent for the HBC lenders in connection with the HBC Facility, a fee at the HBC Closing Date and also agreed to deliver additional fees to HBC upon the earlier to occur of (a) the 30th day after the effectiveness of a registration statement covering the resale of securities issued by Live Oak in the Initial PIPE Investment and (b) the date that is one year following the HBC Closing Date (the “</w:t>
      </w:r>
      <w:r>
        <w:rPr>
          <w:rFonts w:ascii="Times New Roman" w:hAnsi="Times New Roman"/>
          <w:b/>
          <w:sz w:val="20"/>
        </w:rPr>
        <w:t>HBC Compensation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Amount</w:t>
      </w:r>
      <w:r>
        <w:rPr>
          <w:rFonts w:ascii="Times New Roman" w:hAnsi="Times New Roman"/>
          <w:sz w:val="20"/>
        </w:rPr>
        <w:t>”, payable upon the “</w:t>
      </w:r>
      <w:r>
        <w:rPr>
          <w:rFonts w:ascii="Times New Roman" w:hAnsi="Times New Roman"/>
          <w:b/>
          <w:sz w:val="20"/>
        </w:rPr>
        <w:t>HBC Fee Payment Date</w:t>
      </w:r>
      <w:r>
        <w:rPr>
          <w:rFonts w:ascii="Times New Roman" w:hAnsi="Times New Roman"/>
          <w:sz w:val="20"/>
        </w:rPr>
        <w:t>”), subject to and contingent upon the consummation of the Business Combination, which fees may, in the discretion of Teamshares, be deliverable in the form of (i) shares of Common Stock (with the number of such shares of Common Stock to be determined based on the arithmetic average of the daily volume-weighted average trading price of shares of Company Common Stock during the seven (7) full trading days immediately preceding the date of issuance of such shares (the “</w:t>
      </w:r>
      <w:r>
        <w:rPr>
          <w:rFonts w:ascii="Times New Roman" w:hAnsi="Times New Roman"/>
          <w:b/>
          <w:sz w:val="20"/>
        </w:rPr>
        <w:t>HBC Fee Shares</w:t>
      </w:r>
      <w:r>
        <w:rPr>
          <w:rFonts w:ascii="Times New Roman" w:hAnsi="Times New Roman"/>
          <w:sz w:val="20"/>
        </w:rPr>
        <w:t xml:space="preserve">”, if any)) or (ii) cash, in an amount equal to $1 million (or $5 million, upon the occurrence (or non-occurrence) of certain interim events described in the HBC-Teamshares Fee Letter); provided, that Teamshares may be required to deliver the HBC Compensation Amount in cash if certain conditions set forth in the HBC-Teamshares Fee Letter are not satisfied in connection with the Business Combination or during the post-Closing period preceding the HBC Fee Payment Date, in each case in accordance with the terms of the HBC-Teamshares Fee Letter. </w:t>
      </w:r>
    </w:p>
    <w:p>
      <w:pPr>
        <w:pStyle w:val="TextBody"/>
        <w:bidi w:val="0"/>
        <w:spacing w:before="240" w:after="0"/>
        <w:jc w:val="left"/>
        <w:rPr/>
      </w:pPr>
      <w:r>
        <w:rPr/>
        <w:t>“</w:t>
      </w:r>
      <w:r>
        <w:rPr>
          <w:rFonts w:ascii="Times New Roman" w:hAnsi="Times New Roman"/>
          <w:b/>
          <w:sz w:val="20"/>
        </w:rPr>
        <w:t>HBC Closing Date</w:t>
      </w:r>
      <w:r>
        <w:rPr>
          <w:rFonts w:ascii="Times New Roman" w:hAnsi="Times New Roman"/>
          <w:sz w:val="20"/>
        </w:rPr>
        <w:t xml:space="preserve">” means December 23, 2025. </w:t>
      </w:r>
    </w:p>
    <w:p>
      <w:pPr>
        <w:pStyle w:val="TextBody"/>
        <w:bidi w:val="0"/>
        <w:spacing w:before="240" w:after="0"/>
        <w:jc w:val="left"/>
        <w:rPr/>
      </w:pPr>
      <w:r>
        <w:rPr/>
        <w:t>“</w:t>
      </w:r>
      <w:r>
        <w:rPr>
          <w:rFonts w:ascii="Times New Roman" w:hAnsi="Times New Roman"/>
          <w:b/>
          <w:sz w:val="20"/>
        </w:rPr>
        <w:t xml:space="preserve">HBC Facility” </w:t>
      </w:r>
      <w:r>
        <w:rPr>
          <w:rFonts w:ascii="Times New Roman" w:hAnsi="Times New Roman"/>
          <w:sz w:val="20"/>
        </w:rPr>
        <w:t>means the credit facility provided under that certain Credit Agreement (as amended by that certain amendment entered into in March 2026, including, among other things, revisions to certain maturity-related provisions and a waiver of certain defaults thereunder, and as may be further amended, restated, supplemented or otherwise modified from time to time), dated as of December 23, 2025, by and among Legacy Teamshares, certain of its subsidiaries, and certain funds managed, advised or sub-advised by JBA Asset Management LLC (the “</w:t>
      </w:r>
      <w:r>
        <w:rPr>
          <w:rFonts w:ascii="Times New Roman" w:hAnsi="Times New Roman"/>
          <w:b/>
          <w:sz w:val="20"/>
        </w:rPr>
        <w:t>HBC Credit Agreement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HBC Lender</w:t>
      </w:r>
      <w:r>
        <w:rPr>
          <w:rFonts w:ascii="Times New Roman" w:hAnsi="Times New Roman"/>
          <w:sz w:val="20"/>
        </w:rPr>
        <w:t xml:space="preserve">” means each financial institution listed on the signature pages to the HBC Credit Agreement as a lender, including HBC FINANCING PARTNERS BLOCKER LLC as the Hudson Bay Lender, and any other person that becomes a party hereto as a lender pursuant to an assignment agreement. </w:t>
      </w:r>
    </w:p>
    <w:p>
      <w:pPr>
        <w:pStyle w:val="TextBody"/>
        <w:bidi w:val="0"/>
        <w:spacing w:before="240" w:after="0"/>
        <w:jc w:val="left"/>
        <w:rPr/>
      </w:pPr>
      <w:r>
        <w:rPr/>
        <w:t>“</w:t>
      </w:r>
      <w:r>
        <w:rPr>
          <w:rFonts w:ascii="Times New Roman" w:hAnsi="Times New Roman"/>
          <w:b/>
          <w:sz w:val="20"/>
        </w:rPr>
        <w:t>HSR Act</w:t>
      </w:r>
      <w:r>
        <w:rPr>
          <w:rFonts w:ascii="Times New Roman" w:hAnsi="Times New Roman"/>
          <w:sz w:val="20"/>
        </w:rPr>
        <w:t xml:space="preserve">” means the Hart-Scott-Rodino Antitrust Improvements Act of 1976, as amended. </w:t>
      </w:r>
    </w:p>
    <w:p>
      <w:pPr>
        <w:pStyle w:val="TextBody"/>
        <w:bidi w:val="0"/>
        <w:spacing w:before="240" w:after="0"/>
        <w:jc w:val="left"/>
        <w:rPr/>
      </w:pPr>
      <w:r>
        <w:rPr/>
        <w:t>“</w:t>
      </w:r>
      <w:r>
        <w:rPr>
          <w:rFonts w:ascii="Times New Roman" w:hAnsi="Times New Roman"/>
          <w:b/>
          <w:sz w:val="20"/>
        </w:rPr>
        <w:t>i80 Facility</w:t>
      </w:r>
      <w:r>
        <w:rPr>
          <w:rFonts w:ascii="Times New Roman" w:hAnsi="Times New Roman"/>
          <w:sz w:val="20"/>
        </w:rPr>
        <w:t>” means the senior secured credit facility provided under that certain credit agreement (the “</w:t>
      </w:r>
      <w:r>
        <w:rPr>
          <w:rFonts w:ascii="Times New Roman" w:hAnsi="Times New Roman"/>
          <w:b/>
          <w:sz w:val="20"/>
        </w:rPr>
        <w:t>i80 Credit Agreement</w:t>
      </w:r>
      <w:r>
        <w:rPr>
          <w:rFonts w:ascii="Times New Roman" w:hAnsi="Times New Roman"/>
          <w:sz w:val="20"/>
        </w:rPr>
        <w:t xml:space="preserve">”) by and among Teamshares Continuity Holdings LLC, Legacy Teamshares and certain of their respective affiliates, on the one hand, and i80 Group LLC, as the lender, administrative agent and collateral agent. </w:t>
      </w:r>
    </w:p>
    <w:p>
      <w:pPr>
        <w:pStyle w:val="TextBody"/>
        <w:bidi w:val="0"/>
        <w:spacing w:before="240" w:after="0"/>
        <w:jc w:val="left"/>
        <w:rPr/>
      </w:pPr>
      <w:r>
        <w:rPr/>
        <w:t>“</w:t>
      </w:r>
      <w:r>
        <w:rPr>
          <w:rFonts w:ascii="Times New Roman" w:hAnsi="Times New Roman"/>
          <w:b/>
          <w:sz w:val="20"/>
        </w:rPr>
        <w:t>i80 Lender</w:t>
      </w:r>
      <w:r>
        <w:rPr>
          <w:rFonts w:ascii="Times New Roman" w:hAnsi="Times New Roman"/>
          <w:sz w:val="20"/>
        </w:rPr>
        <w:t xml:space="preserve">” means each financial institution listed on the signature pages to the i80 Credit Agreement as a lender, including i80 Group LLC as the lender, and any other person that becomes a party hereto as a lender pursuant to an assignment agreement. </w:t>
      </w:r>
    </w:p>
    <w:p>
      <w:pPr>
        <w:pStyle w:val="TextBody"/>
        <w:bidi w:val="0"/>
        <w:spacing w:before="240" w:after="0"/>
        <w:jc w:val="left"/>
        <w:rPr/>
      </w:pPr>
      <w:r>
        <w:rPr/>
        <w:t>“</w:t>
      </w:r>
      <w:r>
        <w:rPr>
          <w:rFonts w:ascii="Times New Roman" w:hAnsi="Times New Roman"/>
          <w:b/>
          <w:sz w:val="20"/>
        </w:rPr>
        <w:t>In-The-Money Vested</w:t>
      </w:r>
      <w:r>
        <w:rPr>
          <w:rFonts w:ascii="Times New Roman" w:hAnsi="Times New Roman"/>
          <w:sz w:val="20"/>
        </w:rPr>
        <w:t xml:space="preserve"> </w:t>
      </w:r>
      <w:r>
        <w:rPr>
          <w:rFonts w:ascii="Times New Roman" w:hAnsi="Times New Roman"/>
          <w:b/>
          <w:sz w:val="20"/>
        </w:rPr>
        <w:t>Optionholders</w:t>
      </w:r>
      <w:r>
        <w:rPr>
          <w:rFonts w:ascii="Times New Roman" w:hAnsi="Times New Roman"/>
          <w:sz w:val="20"/>
        </w:rPr>
        <w:t xml:space="preserve">” means the holders of Company In-The-Money Vested Options as of immediately prior to the First Effective Time. </w:t>
      </w:r>
    </w:p>
    <w:p>
      <w:pPr>
        <w:pStyle w:val="TextBody"/>
        <w:bidi w:val="0"/>
        <w:spacing w:before="240" w:after="0"/>
        <w:jc w:val="left"/>
        <w:rPr/>
      </w:pPr>
      <w:r>
        <w:rPr/>
        <w:t>“</w:t>
      </w:r>
      <w:r>
        <w:rPr>
          <w:rFonts w:ascii="Times New Roman" w:hAnsi="Times New Roman"/>
          <w:b/>
          <w:sz w:val="20"/>
        </w:rPr>
        <w:t>Incentive Plan</w:t>
      </w:r>
      <w:r>
        <w:rPr>
          <w:rFonts w:ascii="Times New Roman" w:hAnsi="Times New Roman"/>
          <w:sz w:val="20"/>
        </w:rPr>
        <w:t xml:space="preserve">” means the Teamshares Inc. 2026 Incentive Award Plan. </w:t>
      </w:r>
    </w:p>
    <w:p>
      <w:pPr>
        <w:pStyle w:val="TextBody"/>
        <w:bidi w:val="0"/>
        <w:spacing w:before="240" w:after="0"/>
        <w:jc w:val="left"/>
        <w:rPr/>
      </w:pPr>
      <w:r>
        <w:rPr/>
        <w:t>“</w:t>
      </w:r>
      <w:r>
        <w:rPr>
          <w:rFonts w:ascii="Times New Roman" w:hAnsi="Times New Roman"/>
          <w:b/>
          <w:sz w:val="20"/>
        </w:rPr>
        <w:t>Incentive Founder Shares</w:t>
      </w:r>
      <w:r>
        <w:rPr>
          <w:rFonts w:ascii="Times New Roman" w:hAnsi="Times New Roman"/>
          <w:sz w:val="20"/>
        </w:rPr>
        <w:t xml:space="preserve">” means, prior to the Closing, the 1,150,000 Live Oak Class B Ordinary Shares that may be used to incentivize commitments from investors to participate in Financing Transactions and, after the Closing, the up to 1,150,000 shares of Common Stock issuable at the Closing in respect of pre-closing Incentive Founder Shares which are actually utilized to incentivize commitments from investors in Financing Transactions. </w:t>
      </w:r>
    </w:p>
    <w:p>
      <w:pPr>
        <w:pStyle w:val="TextBody"/>
        <w:bidi w:val="0"/>
        <w:spacing w:before="240" w:after="0"/>
        <w:jc w:val="left"/>
        <w:rPr/>
      </w:pPr>
      <w:r>
        <w:rPr/>
        <w:t>“</w:t>
      </w:r>
      <w:r>
        <w:rPr>
          <w:rFonts w:ascii="Times New Roman" w:hAnsi="Times New Roman"/>
          <w:b/>
          <w:sz w:val="20"/>
        </w:rPr>
        <w:t>Initial PIPE Investment</w:t>
      </w:r>
      <w:r>
        <w:rPr>
          <w:rFonts w:ascii="Times New Roman" w:hAnsi="Times New Roman"/>
          <w:sz w:val="20"/>
        </w:rPr>
        <w:t xml:space="preserve">” means the subscriptions by Initial PIPE Investors to purchase Live Oak shares prior and as a condition to the Closing pursuant to the Initial PIPE Subscription Agreements. </w:t>
      </w:r>
    </w:p>
    <w:p>
      <w:pPr>
        <w:pStyle w:val="TextBody"/>
        <w:bidi w:val="0"/>
        <w:spacing w:before="240" w:after="0"/>
        <w:jc w:val="left"/>
        <w:rPr/>
      </w:pPr>
      <w:r>
        <w:rPr/>
        <w:t>“</w:t>
      </w:r>
      <w:r>
        <w:rPr>
          <w:rFonts w:ascii="Times New Roman" w:hAnsi="Times New Roman"/>
          <w:b/>
          <w:sz w:val="20"/>
        </w:rPr>
        <w:t>Initial PIPE Investors</w:t>
      </w:r>
      <w:r>
        <w:rPr>
          <w:rFonts w:ascii="Times New Roman" w:hAnsi="Times New Roman"/>
          <w:sz w:val="20"/>
        </w:rPr>
        <w:t xml:space="preserve">” means any investor that is a party to an Initial PIPE Subscription Agreement (including the Teamshares PIPE Investors, accounts advised by T. Rowe Price Investment Management, Inc., and other institutional investors and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Initial PIPE Subscription Agreements</w:t>
      </w:r>
      <w:r>
        <w:rPr>
          <w:rFonts w:ascii="Times New Roman" w:hAnsi="Times New Roman"/>
          <w:sz w:val="20"/>
        </w:rPr>
        <w:t xml:space="preserve">” means, collectively, the subscription agreements dated as of November 14, 2025, between Live Oak and each of the Initial PIPE Investors. </w:t>
      </w:r>
    </w:p>
    <w:p>
      <w:pPr>
        <w:pStyle w:val="TextBody"/>
        <w:bidi w:val="0"/>
        <w:spacing w:before="240" w:after="0"/>
        <w:jc w:val="left"/>
        <w:rPr/>
      </w:pPr>
      <w:r>
        <w:rPr/>
        <w:t>“</w:t>
      </w:r>
      <w:r>
        <w:rPr>
          <w:rFonts w:ascii="Times New Roman" w:hAnsi="Times New Roman"/>
          <w:b/>
          <w:sz w:val="20"/>
        </w:rPr>
        <w:t>Initial PIPE Shares</w:t>
      </w:r>
      <w:r>
        <w:rPr>
          <w:rFonts w:ascii="Times New Roman" w:hAnsi="Times New Roman"/>
          <w:sz w:val="20"/>
        </w:rPr>
        <w:t xml:space="preserve">” means the 13,750,000 shares of Common Stock to be issued to the Initial PIPE Investors pursuant to the Initial PIPE Subscription Agreements at a purchase price of $9.20 per share. </w:t>
      </w:r>
    </w:p>
    <w:p>
      <w:pPr>
        <w:pStyle w:val="TextBody"/>
        <w:bidi w:val="0"/>
        <w:spacing w:before="240" w:after="0"/>
        <w:jc w:val="left"/>
        <w:rPr/>
      </w:pPr>
      <w:r>
        <w:rPr/>
        <w:t>“</w:t>
      </w:r>
      <w:r>
        <w:rPr>
          <w:rFonts w:ascii="Times New Roman" w:hAnsi="Times New Roman"/>
          <w:b/>
          <w:sz w:val="20"/>
        </w:rPr>
        <w:t>Insider Letter</w:t>
      </w:r>
      <w:r>
        <w:rPr>
          <w:rFonts w:ascii="Times New Roman" w:hAnsi="Times New Roman"/>
          <w:sz w:val="20"/>
        </w:rPr>
        <w:t xml:space="preserve">” means the letter agreement, dated as of February 27, 2025, between Live Oak, its officers and directors, and the Sponsor, pursuant to which such officers, directors and the Sponsor of Live Oak agreed, among other things, to (i) waive their redemption rights with respect to their founder shares and public shares in connection with the completion of an initial business combination or an earlier redemption in connection with the commencement of the procedures to consummate an initial business combination if Live Oak determines it is desirable to facilitate the completion of such initial business combination; (ii) waive their redemption rights with respect to their founder shares and public shares in connection with a shareholder vote to approve an amendment to the amended and restated articles of association of Live Oak; (iii) waive their rights to liquidating distributions from the Trust Account with respect to their founder shares if the Company fails to complete an initial business combination within a specified period of time, although they will be entitled to liquidating distributions from the Trust Account with respect to any public shares they hold if the Company fails to complete an initial business combination within such specified period of time and to liquidating distributions from assets outside the Trust Account; and (iv) vote any founder shares held by them and any public shares purchased during or after Live Oak’s initial public offering (including in open market and privately negotiated transactions) in favor of an initial business combination (except that any public shares such parties may purchase in compliance with the requirements of Rule 14e-5 under the Exchange Act would not be voted in favor of approving such business combination transaction). </w:t>
      </w:r>
    </w:p>
    <w:p>
      <w:pPr>
        <w:pStyle w:val="TextBody"/>
        <w:bidi w:val="0"/>
        <w:spacing w:before="240" w:after="0"/>
        <w:jc w:val="left"/>
        <w:rPr/>
      </w:pPr>
      <w:r>
        <w:rPr/>
        <w:t>“</w:t>
      </w:r>
      <w:r>
        <w:rPr>
          <w:rFonts w:ascii="Times New Roman" w:hAnsi="Times New Roman"/>
          <w:b/>
          <w:sz w:val="20"/>
        </w:rPr>
        <w:t>Insider Letter Amendments</w:t>
      </w:r>
      <w:r>
        <w:rPr>
          <w:rFonts w:ascii="Times New Roman" w:hAnsi="Times New Roman"/>
          <w:sz w:val="20"/>
        </w:rPr>
        <w:t xml:space="preserve">” means the First Insider Letter Amendment and Second Insider Letter Amendment, effective upon the Closing, which amended the terms and duration of the restricted trading or “lock-up” period applicable to shares of Common Stock corresponding to the Sponsor Shares which remain outstanding as of immediately prior to the Closing to a lock-up period extending until the date occurring six (6) months after the Closing Date (except with respect to Released Former Sponsor Shares, which will not be subject to contractual post-Closing lock-up restrictions pursuant to the Insider Letter, as amended by the Insider Letter Amendments). </w:t>
      </w:r>
    </w:p>
    <w:p>
      <w:pPr>
        <w:pStyle w:val="TextBody"/>
        <w:bidi w:val="0"/>
        <w:spacing w:before="240" w:after="0"/>
        <w:jc w:val="left"/>
        <w:rPr/>
      </w:pPr>
      <w:r>
        <w:rPr/>
        <w:t>“</w:t>
      </w:r>
      <w:r>
        <w:rPr>
          <w:rFonts w:ascii="Times New Roman" w:hAnsi="Times New Roman"/>
          <w:b/>
          <w:sz w:val="20"/>
        </w:rPr>
        <w:t>IPO</w:t>
      </w:r>
      <w:r>
        <w:rPr>
          <w:rFonts w:ascii="Times New Roman" w:hAnsi="Times New Roman"/>
          <w:sz w:val="20"/>
        </w:rPr>
        <w:t xml:space="preserve">” means the initial public offering of Live Oak. </w:t>
      </w:r>
    </w:p>
    <w:p>
      <w:pPr>
        <w:pStyle w:val="TextBody"/>
        <w:bidi w:val="0"/>
        <w:spacing w:before="240" w:after="0"/>
        <w:jc w:val="left"/>
        <w:rPr/>
      </w:pPr>
      <w:r>
        <w:rPr/>
        <w:t>“</w:t>
      </w:r>
      <w:r>
        <w:rPr>
          <w:rFonts w:ascii="Times New Roman" w:hAnsi="Times New Roman"/>
          <w:b/>
          <w:sz w:val="20"/>
        </w:rPr>
        <w:t>Latham</w:t>
      </w:r>
      <w:r>
        <w:rPr>
          <w:rFonts w:ascii="Times New Roman" w:hAnsi="Times New Roman"/>
          <w:sz w:val="20"/>
        </w:rPr>
        <w:t xml:space="preserve">” means Latham &amp; Watkins LLP, counsel to the Company. </w:t>
      </w:r>
    </w:p>
    <w:p>
      <w:pPr>
        <w:pStyle w:val="TextBody"/>
        <w:bidi w:val="0"/>
        <w:spacing w:before="240" w:after="0"/>
        <w:jc w:val="left"/>
        <w:rPr/>
      </w:pPr>
      <w:r>
        <w:rPr/>
        <w:t>“</w:t>
      </w:r>
      <w:r>
        <w:rPr>
          <w:rFonts w:ascii="Times New Roman" w:hAnsi="Times New Roman"/>
          <w:b/>
          <w:sz w:val="20"/>
        </w:rPr>
        <w:t>Legacy Charter</w:t>
      </w:r>
      <w:r>
        <w:rPr>
          <w:rFonts w:ascii="Times New Roman" w:hAnsi="Times New Roman"/>
          <w:sz w:val="20"/>
        </w:rPr>
        <w:t xml:space="preserve">” means the Articles of Incorporation of Legacy Teamshares, as amended and effective under the DGCL, prior to Closing. </w:t>
      </w:r>
    </w:p>
    <w:p>
      <w:pPr>
        <w:pStyle w:val="TextBody"/>
        <w:bidi w:val="0"/>
        <w:spacing w:before="240" w:after="0"/>
        <w:jc w:val="left"/>
        <w:rPr/>
      </w:pPr>
      <w:r>
        <w:rPr/>
        <w:t>“</w:t>
      </w:r>
      <w:r>
        <w:rPr>
          <w:rFonts w:ascii="Times New Roman" w:hAnsi="Times New Roman"/>
          <w:b/>
          <w:sz w:val="20"/>
        </w:rPr>
        <w:t>Legacy Teamshares</w:t>
      </w:r>
      <w:r>
        <w:rPr>
          <w:rFonts w:ascii="Times New Roman" w:hAnsi="Times New Roman"/>
          <w:sz w:val="20"/>
        </w:rPr>
        <w:t xml:space="preserve">” means (a) Teamshares Inc., a Delaware corporation, in its capacity prior to the Business Combination, and (b) Teamshares LLC, a Delaware limited liability company and wholly-owned subsidiary of New Teamshares, in its capacity after the Business Combination. </w:t>
      </w:r>
    </w:p>
    <w:p>
      <w:pPr>
        <w:pStyle w:val="TextBody"/>
        <w:bidi w:val="0"/>
        <w:spacing w:before="240" w:after="0"/>
        <w:jc w:val="left"/>
        <w:rPr/>
      </w:pPr>
      <w:r>
        <w:rPr/>
        <w:t>“</w:t>
      </w:r>
      <w:r>
        <w:rPr>
          <w:rFonts w:ascii="Times New Roman" w:hAnsi="Times New Roman"/>
          <w:b/>
          <w:sz w:val="20"/>
        </w:rPr>
        <w:t>Liquidation Preference Electing Holders</w:t>
      </w:r>
      <w:r>
        <w:rPr>
          <w:rFonts w:ascii="Times New Roman" w:hAnsi="Times New Roman"/>
          <w:sz w:val="20"/>
        </w:rPr>
        <w:t xml:space="preserve">” means, collectively, the Eligible Preferred Holders that made Liquidation Preference Elections with respect to Eligible Preferred Shares in accordance with the Liquidation Preference Election and Waiver Documents. </w:t>
      </w:r>
    </w:p>
    <w:p>
      <w:pPr>
        <w:pStyle w:val="TextBody"/>
        <w:bidi w:val="0"/>
        <w:spacing w:before="240" w:after="0"/>
        <w:jc w:val="left"/>
        <w:rPr/>
      </w:pPr>
      <w:r>
        <w:rPr/>
        <w:t>“</w:t>
      </w:r>
      <w:r>
        <w:rPr>
          <w:rFonts w:ascii="Times New Roman" w:hAnsi="Times New Roman"/>
          <w:b/>
          <w:sz w:val="20"/>
        </w:rPr>
        <w:t>Liquidation Preference Elections</w:t>
      </w:r>
      <w:r>
        <w:rPr>
          <w:rFonts w:ascii="Times New Roman" w:hAnsi="Times New Roman"/>
          <w:sz w:val="20"/>
        </w:rPr>
        <w:t xml:space="preserve">” means the elections by applicable Eligible Preferred Holders (Liquidation Preference Electing Holders) to, in connection with the Business Combination (prior to the First Effective Time and prior, also, to giving effect to (and instead of having such holders’ applicable shares of Company Preferred Stock exchanged for shares of Company Common Stock in accordance with) the Company Preferred Stock Exchange pursuant to the terms of the Merger Agreement (and Section 5.1 of the Legacy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Charter, subject to the terms of the Liquidation Preference and Waiver Documents)), have the applicable Eligible Preferred Shares held by such holders converted into a number of shares of Company Common Stock to be determined based on the greater of (a) the applicable Original Issue Price (as defined in the Legacy Charter) of such shares, plus any dividends declared but unpaid thereon, with the number of shares of Common Stock to be received by Eligible Preferred Holders that make such elections to be determined, prior to the Closing, based on the Per Share Price (as defined in the Merger Agreement) calculated as of the Closing Date; or (b) such amount per share as would have been payable to such Liquidation Preference Electing Holder should all of such holders’ Eligible Preferred Shares have been converted into shares of Company Common Stock pursuant to Section 4 of the Legacy Charter; provided, also, that pursuant to the terms of the Liquidation Preference Election and Waiver Documents, Eligible Preferred Holders that made Liquidation Preference Elections also agreed to forfeit entitlement to participate in any Earnout Shares, if any such Earnout Shares are issued during the post-Closing Earnout Period in accordance with the terms of the Merger Agreement (solely in respect of such holders’ Liquidation Preference Election Shares). </w:t>
      </w:r>
    </w:p>
    <w:p>
      <w:pPr>
        <w:pStyle w:val="TextBody"/>
        <w:bidi w:val="0"/>
        <w:spacing w:before="240" w:after="0"/>
        <w:jc w:val="left"/>
        <w:rPr/>
      </w:pPr>
      <w:r>
        <w:rPr/>
        <w:t>“</w:t>
      </w:r>
      <w:r>
        <w:rPr>
          <w:rFonts w:ascii="Times New Roman" w:hAnsi="Times New Roman"/>
          <w:b/>
          <w:sz w:val="20"/>
        </w:rPr>
        <w:t>Liquidation Preference Election Shares</w:t>
      </w:r>
      <w:r>
        <w:rPr>
          <w:rFonts w:ascii="Times New Roman" w:hAnsi="Times New Roman"/>
          <w:sz w:val="20"/>
        </w:rPr>
        <w:t xml:space="preserve">” means the Eligible Preferred Shares in respect of which valid and timely Liquidation Preference Elections have been made in accordance with the terms of the Liquidation Preference Election and Waiver Documents. </w:t>
      </w:r>
    </w:p>
    <w:p>
      <w:pPr>
        <w:pStyle w:val="TextBody"/>
        <w:bidi w:val="0"/>
        <w:spacing w:before="240" w:after="0"/>
        <w:jc w:val="left"/>
        <w:rPr/>
      </w:pPr>
      <w:r>
        <w:rPr/>
        <w:t>“</w:t>
      </w:r>
      <w:r>
        <w:rPr>
          <w:rFonts w:ascii="Times New Roman" w:hAnsi="Times New Roman"/>
          <w:b/>
          <w:sz w:val="20"/>
        </w:rPr>
        <w:t>Liquidation Preference Election and Waiver Documents</w:t>
      </w:r>
      <w:r>
        <w:rPr>
          <w:rFonts w:ascii="Times New Roman" w:hAnsi="Times New Roman"/>
          <w:sz w:val="20"/>
        </w:rPr>
        <w:t>” means, collectively, the documentation pursuant to which, in connection with the Business Combination, Legacy Teamshares offered Eligible Preferred Holders the ability to elect, in such holders’ respective discretions, to have Eligible Preferred Shares convert into newly-issued shares of Company Common Stock (prior to the First Effective Time and prior to the Company effectuating the Company Preferred Stock Exchange, as defined in the Merger Agreement) in accordance with one of the following alternatives: (i) a “</w:t>
      </w:r>
      <w:r>
        <w:rPr>
          <w:rFonts w:ascii="Times New Roman" w:hAnsi="Times New Roman"/>
          <w:b/>
          <w:sz w:val="20"/>
        </w:rPr>
        <w:t>Liquidation Preference Election</w:t>
      </w:r>
      <w:r>
        <w:rPr>
          <w:rFonts w:ascii="Times New Roman" w:hAnsi="Times New Roman"/>
          <w:sz w:val="20"/>
        </w:rPr>
        <w:t xml:space="preserve">”, upon which election Eligible Preferred Holders received, upon conversion of applicable Eligible Preferred Shares into shares of Company Common Stock, a number of shares of Company Common Stock determined based on the greater of (a) the applicable Original Issue Price (as defined in the Legacy Charter) of such shares, plus any dividends declared but unpaid thereon, with the number of shares of Common Stock to be received by Eligible Preferred Holders that make such election to be determined based on the Per Share Price to be determined as of the Closing in accordance with the terms of the Merger Agreement or (b) such amount per share as would have been payable to such Liquidation Preference Electing Holder should all of Eligible Preferred Shares have been converted into shares of Company Common Stock pursuant to Section 4 of the Legacy Charter, with holders making such Liquidation Preference Election, in consideration of being offered the Liquidation Preference Election, also agreeing to forfeit entitlement to participate in any Earnout Shares, if any such Earnout Shares are issued during the post-Closing Earnout Period in accordance with the terms of the Merger Agreement, in respect of such holders’ Liquidation Preference Election Shares; or (ii) the provisions set forth in Section 5.1 of the Legacy Charter, subject to and as described in the Liquidation Preference Election and Waiver Documents, with such conversion of Eligible Preferred Holders’ Eligible Preferred Shares (in respect of which no Liquidation Preference Election and Waiver is made) to be effectuated as part of the Company Preferred Stock Exchange contemplated by the Merger Agreement. </w:t>
      </w:r>
    </w:p>
    <w:p>
      <w:pPr>
        <w:pStyle w:val="TextBody"/>
        <w:bidi w:val="0"/>
        <w:spacing w:before="240" w:after="0"/>
        <w:jc w:val="left"/>
        <w:rPr/>
      </w:pPr>
      <w:r>
        <w:rPr/>
        <w:t>“</w:t>
      </w:r>
      <w:r>
        <w:rPr>
          <w:rFonts w:ascii="Times New Roman" w:hAnsi="Times New Roman"/>
          <w:b/>
          <w:sz w:val="20"/>
        </w:rPr>
        <w:t>Live Oak</w:t>
      </w:r>
      <w:r>
        <w:rPr>
          <w:rFonts w:ascii="Times New Roman" w:hAnsi="Times New Roman"/>
          <w:sz w:val="20"/>
        </w:rPr>
        <w:t xml:space="preserve">” means Live Oak Acquisition Corp. V, a Cayman Islands exempted company. </w:t>
      </w:r>
    </w:p>
    <w:p>
      <w:pPr>
        <w:pStyle w:val="TextBody"/>
        <w:bidi w:val="0"/>
        <w:spacing w:before="240" w:after="0"/>
        <w:jc w:val="left"/>
        <w:rPr/>
      </w:pPr>
      <w:r>
        <w:rPr/>
        <w:t>“</w:t>
      </w:r>
      <w:r>
        <w:rPr>
          <w:rFonts w:ascii="Times New Roman" w:hAnsi="Times New Roman"/>
          <w:b/>
          <w:sz w:val="20"/>
        </w:rPr>
        <w:t>Live Oak Class</w:t>
      </w:r>
      <w:r>
        <w:rPr>
          <w:rFonts w:ascii="Times New Roman" w:hAnsi="Times New Roman"/>
          <w:sz w:val="20"/>
        </w:rPr>
        <w:t> </w:t>
      </w:r>
      <w:r>
        <w:rPr>
          <w:rFonts w:ascii="Times New Roman" w:hAnsi="Times New Roman"/>
          <w:b/>
          <w:sz w:val="20"/>
        </w:rPr>
        <w:t>A Shares</w:t>
      </w:r>
      <w:r>
        <w:rPr>
          <w:rFonts w:ascii="Times New Roman" w:hAnsi="Times New Roman"/>
          <w:sz w:val="20"/>
        </w:rPr>
        <w:t xml:space="preserve">” means the Class A ordinary shares, par value $0.0001 per share, of Live Oak. </w:t>
      </w:r>
    </w:p>
    <w:p>
      <w:pPr>
        <w:pStyle w:val="TextBody"/>
        <w:bidi w:val="0"/>
        <w:spacing w:before="240" w:after="0"/>
        <w:jc w:val="left"/>
        <w:rPr/>
      </w:pPr>
      <w:r>
        <w:rPr/>
        <w:t>“</w:t>
      </w:r>
      <w:r>
        <w:rPr>
          <w:rFonts w:ascii="Times New Roman" w:hAnsi="Times New Roman"/>
          <w:b/>
          <w:sz w:val="20"/>
        </w:rPr>
        <w:t>Live Oak Class</w:t>
      </w:r>
      <w:r>
        <w:rPr>
          <w:rFonts w:ascii="Times New Roman" w:hAnsi="Times New Roman"/>
          <w:sz w:val="20"/>
        </w:rPr>
        <w:t> </w:t>
      </w:r>
      <w:r>
        <w:rPr>
          <w:rFonts w:ascii="Times New Roman" w:hAnsi="Times New Roman"/>
          <w:b/>
          <w:sz w:val="20"/>
        </w:rPr>
        <w:t>B Shares</w:t>
      </w:r>
      <w:r>
        <w:rPr>
          <w:rFonts w:ascii="Times New Roman" w:hAnsi="Times New Roman"/>
          <w:sz w:val="20"/>
        </w:rPr>
        <w:t xml:space="preserve">” means the Class B ordinary shares, par value $0.0001 per share, of Live Oak. </w:t>
      </w:r>
    </w:p>
    <w:p>
      <w:pPr>
        <w:pStyle w:val="TextBody"/>
        <w:bidi w:val="0"/>
        <w:spacing w:before="240" w:after="0"/>
        <w:jc w:val="left"/>
        <w:rPr/>
      </w:pPr>
      <w:r>
        <w:rPr/>
        <w:t>“</w:t>
      </w:r>
      <w:r>
        <w:rPr>
          <w:rFonts w:ascii="Times New Roman" w:hAnsi="Times New Roman"/>
          <w:b/>
          <w:sz w:val="20"/>
        </w:rPr>
        <w:t>Live Oak Ordinary Shares</w:t>
      </w:r>
      <w:r>
        <w:rPr>
          <w:rFonts w:ascii="Times New Roman" w:hAnsi="Times New Roman"/>
          <w:sz w:val="20"/>
        </w:rPr>
        <w:t xml:space="preserve">” means the Live Oak Class A Shares and Live Oak Class B Shares. </w:t>
      </w:r>
    </w:p>
    <w:p>
      <w:pPr>
        <w:pStyle w:val="TextBody"/>
        <w:bidi w:val="0"/>
        <w:spacing w:before="240" w:after="0"/>
        <w:jc w:val="left"/>
        <w:rPr/>
      </w:pPr>
      <w:r>
        <w:rPr/>
        <w:t>“</w:t>
      </w:r>
      <w:r>
        <w:rPr>
          <w:rFonts w:ascii="Times New Roman" w:hAnsi="Times New Roman"/>
          <w:b/>
          <w:sz w:val="20"/>
        </w:rPr>
        <w:t>Live Oak Units</w:t>
      </w:r>
      <w:r>
        <w:rPr>
          <w:rFonts w:ascii="Times New Roman" w:hAnsi="Times New Roman"/>
          <w:sz w:val="20"/>
        </w:rPr>
        <w:t xml:space="preserve">” means a unit of Live Oak, each consisting of one Live Oak Class A Share and one redeemable warrant to purchase one Live Oak Class A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ix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Lock-Up Holders</w:t>
      </w:r>
      <w:r>
        <w:rPr>
          <w:rFonts w:ascii="Times New Roman" w:hAnsi="Times New Roman"/>
          <w:sz w:val="20"/>
        </w:rPr>
        <w:t xml:space="preserve">” means the certain equity holders of Legacy Teamshares who entered into the Teamshares Lock-Up Agreement. </w:t>
      </w:r>
    </w:p>
    <w:p>
      <w:pPr>
        <w:pStyle w:val="TextBody"/>
        <w:bidi w:val="0"/>
        <w:spacing w:before="240" w:after="0"/>
        <w:jc w:val="left"/>
        <w:rPr/>
      </w:pPr>
      <w:r>
        <w:rPr/>
        <w:t>“</w:t>
      </w:r>
      <w:r>
        <w:rPr>
          <w:rFonts w:ascii="Times New Roman" w:hAnsi="Times New Roman"/>
          <w:b/>
          <w:sz w:val="20"/>
        </w:rPr>
        <w:t>malware</w:t>
      </w:r>
      <w:r>
        <w:rPr>
          <w:rFonts w:ascii="Times New Roman" w:hAnsi="Times New Roman"/>
          <w:sz w:val="20"/>
        </w:rPr>
        <w:t xml:space="preserve">” means computer viruses or malicious code. </w:t>
      </w:r>
    </w:p>
    <w:p>
      <w:pPr>
        <w:pStyle w:val="TextBody"/>
        <w:bidi w:val="0"/>
        <w:spacing w:before="240" w:after="0"/>
        <w:jc w:val="left"/>
        <w:rPr/>
      </w:pPr>
      <w:r>
        <w:rPr/>
        <w:t>“</w:t>
      </w:r>
      <w:r>
        <w:rPr>
          <w:rFonts w:ascii="Times New Roman" w:hAnsi="Times New Roman"/>
          <w:b/>
          <w:sz w:val="20"/>
        </w:rPr>
        <w:t>Management Lock-Up Agreements</w:t>
      </w:r>
      <w:r>
        <w:rPr>
          <w:rFonts w:ascii="Times New Roman" w:hAnsi="Times New Roman"/>
          <w:sz w:val="20"/>
        </w:rPr>
        <w:t xml:space="preserve">” means the lock-up agreements entered into simultaneously with the execution of the Original Merger Agreement among Live Oak, the SPAC Representative and each member of the Teamshares management team, pursuant to which members of the Teamshares management team agreed to certain transfer and other restrictions applicable to the shares of Common Stock they received in the Merger for a period of time after the Closing. </w:t>
      </w:r>
    </w:p>
    <w:p>
      <w:pPr>
        <w:pStyle w:val="TextBody"/>
        <w:bidi w:val="0"/>
        <w:spacing w:before="240" w:after="0"/>
        <w:jc w:val="left"/>
        <w:rPr/>
      </w:pPr>
      <w:r>
        <w:rPr/>
        <w:t>“</w:t>
      </w:r>
      <w:r>
        <w:rPr>
          <w:rFonts w:ascii="Times New Roman" w:hAnsi="Times New Roman"/>
          <w:b/>
          <w:sz w:val="20"/>
        </w:rPr>
        <w:t>Merger Agreement</w:t>
      </w:r>
      <w:r>
        <w:rPr>
          <w:rFonts w:ascii="Times New Roman" w:hAnsi="Times New Roman"/>
          <w:sz w:val="20"/>
        </w:rPr>
        <w:t>” means that certain Merger Agreement, dated as of November 14, 2025 (as amended on April 1, 2026 and May 13, 2026), by and among Live Oak, Catalyst Sub Inc., a Delaware corporation and a direct, wholly-owned subsidiary of Live Oak (“</w:t>
      </w:r>
      <w:r>
        <w:rPr>
          <w:rFonts w:ascii="Times New Roman" w:hAnsi="Times New Roman"/>
          <w:b/>
          <w:sz w:val="20"/>
        </w:rPr>
        <w:t>Merger Sub</w:t>
      </w:r>
      <w:r>
        <w:rPr>
          <w:rFonts w:ascii="Times New Roman" w:hAnsi="Times New Roman"/>
          <w:sz w:val="20"/>
        </w:rPr>
        <w:t>”), Catalyst Sub 2 LLC, a Delaware limited liability company and a direct, wholly-owned subsidiary of Live Oak (“</w:t>
      </w:r>
      <w:r>
        <w:rPr>
          <w:rFonts w:ascii="Times New Roman" w:hAnsi="Times New Roman"/>
          <w:b/>
          <w:sz w:val="20"/>
        </w:rPr>
        <w:t>Merger Sub II</w:t>
      </w:r>
      <w:r>
        <w:rPr>
          <w:rFonts w:ascii="Times New Roman" w:hAnsi="Times New Roman"/>
          <w:sz w:val="20"/>
        </w:rPr>
        <w:t>,” to be renamed “</w:t>
      </w:r>
      <w:r>
        <w:rPr>
          <w:rFonts w:ascii="Times New Roman" w:hAnsi="Times New Roman"/>
          <w:b/>
          <w:sz w:val="20"/>
        </w:rPr>
        <w:t>Teamshares LLC</w:t>
      </w:r>
      <w:r>
        <w:rPr>
          <w:rFonts w:ascii="Times New Roman" w:hAnsi="Times New Roman"/>
          <w:sz w:val="20"/>
        </w:rPr>
        <w:t>” effective at Closing), Live Oak Sponsor V LLC, in its capacity as SPAC Representative (the “</w:t>
      </w:r>
      <w:r>
        <w:rPr>
          <w:rFonts w:ascii="Times New Roman" w:hAnsi="Times New Roman"/>
          <w:b/>
          <w:sz w:val="20"/>
        </w:rPr>
        <w:t>Sponsor</w:t>
      </w:r>
      <w:r>
        <w:rPr>
          <w:rFonts w:ascii="Times New Roman" w:hAnsi="Times New Roman"/>
          <w:sz w:val="20"/>
        </w:rPr>
        <w:t xml:space="preserve">”), Brian Gaebe, in his capacity as Seller Representative, and Legacy Teamshares. </w:t>
      </w:r>
    </w:p>
    <w:p>
      <w:pPr>
        <w:pStyle w:val="TextBody"/>
        <w:bidi w:val="0"/>
        <w:spacing w:before="240" w:after="0"/>
        <w:jc w:val="left"/>
        <w:rPr/>
      </w:pPr>
      <w:r>
        <w:rPr/>
        <w:t>“</w:t>
      </w:r>
      <w:r>
        <w:rPr>
          <w:rFonts w:ascii="Times New Roman" w:hAnsi="Times New Roman"/>
          <w:b/>
          <w:sz w:val="20"/>
        </w:rPr>
        <w:t>Mergers</w:t>
      </w:r>
      <w:r>
        <w:rPr>
          <w:rFonts w:ascii="Times New Roman" w:hAnsi="Times New Roman"/>
          <w:sz w:val="20"/>
        </w:rPr>
        <w:t xml:space="preserve">” means the First Merger and the Second Merger. </w:t>
      </w:r>
    </w:p>
    <w:p>
      <w:pPr>
        <w:pStyle w:val="TextBody"/>
        <w:bidi w:val="0"/>
        <w:spacing w:before="240" w:after="0"/>
        <w:jc w:val="left"/>
        <w:rPr/>
      </w:pPr>
      <w:r>
        <w:rPr/>
        <w:t>“</w:t>
      </w:r>
      <w:r>
        <w:rPr>
          <w:rFonts w:ascii="Times New Roman" w:hAnsi="Times New Roman"/>
          <w:b/>
          <w:sz w:val="20"/>
        </w:rPr>
        <w:t>Merger Consideration</w:t>
      </w:r>
      <w:r>
        <w:rPr>
          <w:rFonts w:ascii="Times New Roman" w:hAnsi="Times New Roman"/>
          <w:sz w:val="20"/>
        </w:rPr>
        <w:t xml:space="preserve">” means the consideration, in the form of newly-issued shares of Common Stock and Assumed Vested Options, delivered at the Closing to Teamshares Stockholders that completed applicable transmittal documents required by the Merger Agreement and In-The-Money Vested Optionholders as of the First Effective Time, with an aggregate value equal to the sum of Five Hundred and Twenty-Five Million Dollars ($525,000,000) plus (ii) the aggregate amount of any Interim Period Financing Transactions, if any, which includes the Stockholder Merger Consideration deliverable to Teamshares Stockholders in the form of Merger Consideration Shares, with each Teamshares Stockholder receiving, for each share of Company Common Stock held as of immediately prior to the First Effective Time (after giving effect to Liquidation Preference Elections, and, thereafter, giving effect to the Company Preferred Stock Exchange contemplated by the Merger Agreement or otherwise treating shares of Company Preferred Stock on an as converted to Company Common Stock basis in accordance with the terms of the Merger Agreement, but excluding Company Treasury Shares), a number of shares of Common Stock equal to (1) the Per Share Price, divided by (2) $10.00. </w:t>
      </w:r>
    </w:p>
    <w:p>
      <w:pPr>
        <w:pStyle w:val="TextBody"/>
        <w:bidi w:val="0"/>
        <w:spacing w:before="240" w:after="0"/>
        <w:jc w:val="left"/>
        <w:rPr/>
      </w:pPr>
      <w:r>
        <w:rPr/>
        <w:t>“</w:t>
      </w:r>
      <w:r>
        <w:rPr>
          <w:rFonts w:ascii="Times New Roman" w:hAnsi="Times New Roman"/>
          <w:b/>
          <w:sz w:val="20"/>
        </w:rPr>
        <w:t>Merger Consideration Shares</w:t>
      </w:r>
      <w:r>
        <w:rPr>
          <w:rFonts w:ascii="Times New Roman" w:hAnsi="Times New Roman"/>
          <w:sz w:val="20"/>
        </w:rPr>
        <w:t xml:space="preserve">” means a number of newly issued shares of Common Stock equal to the aggregate Stockholder Merger Consideration divided by $10.00, deliverable to the Teamshares Stockholders at the Closing under the terms of the Merger Agreement. </w:t>
      </w:r>
    </w:p>
    <w:p>
      <w:pPr>
        <w:pStyle w:val="TextBody"/>
        <w:bidi w:val="0"/>
        <w:spacing w:before="240" w:after="0"/>
        <w:jc w:val="left"/>
        <w:rPr/>
      </w:pPr>
      <w:r>
        <w:rPr/>
        <w:t>“</w:t>
      </w:r>
      <w:r>
        <w:rPr>
          <w:rFonts w:ascii="Times New Roman" w:hAnsi="Times New Roman"/>
          <w:b/>
          <w:sz w:val="20"/>
        </w:rPr>
        <w:t>Merger Sub</w:t>
      </w:r>
      <w:r>
        <w:rPr>
          <w:rFonts w:ascii="Times New Roman" w:hAnsi="Times New Roman"/>
          <w:sz w:val="20"/>
        </w:rPr>
        <w:t xml:space="preserve">” means Catalyst Sub Inc., a Delaware corporation and wholly-owned subsidiary of Live Oak. </w:t>
      </w:r>
    </w:p>
    <w:p>
      <w:pPr>
        <w:pStyle w:val="TextBody"/>
        <w:bidi w:val="0"/>
        <w:spacing w:before="240" w:after="0"/>
        <w:jc w:val="left"/>
        <w:rPr/>
      </w:pPr>
      <w:r>
        <w:rPr/>
        <w:t>“</w:t>
      </w:r>
      <w:r>
        <w:rPr>
          <w:rFonts w:ascii="Times New Roman" w:hAnsi="Times New Roman"/>
          <w:b/>
          <w:sz w:val="20"/>
        </w:rPr>
        <w:t>Merger Sub II</w:t>
      </w:r>
      <w:r>
        <w:rPr>
          <w:rFonts w:ascii="Times New Roman" w:hAnsi="Times New Roman"/>
          <w:sz w:val="20"/>
        </w:rPr>
        <w:t xml:space="preserve">” means Catalyst Sub 2 LLC, a Delaware limited liability company and a wholly-owned subsidiary of Live Oak.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LLC, and includes the Nasdaq Capital Market. </w:t>
      </w:r>
    </w:p>
    <w:p>
      <w:pPr>
        <w:pStyle w:val="TextBody"/>
        <w:bidi w:val="0"/>
        <w:spacing w:before="240" w:after="0"/>
        <w:jc w:val="left"/>
        <w:rPr/>
      </w:pPr>
      <w:r>
        <w:rPr/>
        <w:t>“</w:t>
      </w:r>
      <w:r>
        <w:rPr>
          <w:rFonts w:ascii="Times New Roman" w:hAnsi="Times New Roman"/>
          <w:b/>
          <w:sz w:val="20"/>
        </w:rPr>
        <w:t>Original Merger Agreement</w:t>
      </w:r>
      <w:r>
        <w:rPr>
          <w:rFonts w:ascii="Times New Roman" w:hAnsi="Times New Roman"/>
          <w:sz w:val="20"/>
        </w:rPr>
        <w:t xml:space="preserve">” means the Agreement and Plan of Merger, dated as of November 14, 2025, between Live Oak, Legacy Teamshares, Merger Sub, Merger Sub II, Sponsor (solely in its capacity as the SPAC Representative for the limited purposes set forth in the Merger Agreement) and the Seller Representative (solely in its capacity as the Seller Representative for the limited purposes set forth in the Merger Agreement). </w:t>
      </w:r>
    </w:p>
    <w:p>
      <w:pPr>
        <w:pStyle w:val="TextBody"/>
        <w:bidi w:val="0"/>
        <w:spacing w:before="240" w:after="0"/>
        <w:jc w:val="left"/>
        <w:rPr/>
      </w:pPr>
      <w:r>
        <w:rPr/>
        <w:t>“</w:t>
      </w:r>
      <w:r>
        <w:rPr>
          <w:rFonts w:ascii="Times New Roman" w:hAnsi="Times New Roman"/>
          <w:b/>
          <w:sz w:val="20"/>
        </w:rPr>
        <w:t>Per Share Price</w:t>
      </w:r>
      <w:r>
        <w:rPr>
          <w:rFonts w:ascii="Times New Roman" w:hAnsi="Times New Roman"/>
          <w:sz w:val="20"/>
        </w:rPr>
        <w:t xml:space="preserve">” means an amount equal to (i) the Merger Consideration divided by (ii) the Fully-Diluted Company Shares as of immediately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Private Placement</w:t>
      </w:r>
      <w:r>
        <w:rPr>
          <w:rFonts w:ascii="Times New Roman" w:hAnsi="Times New Roman"/>
          <w:sz w:val="20"/>
        </w:rPr>
        <w:t xml:space="preserve">” means the private placement consummated in connection with the IPO in which Live Oak issued the Private Warrants to the Sponsor. </w:t>
      </w:r>
    </w:p>
    <w:p>
      <w:pPr>
        <w:pStyle w:val="TextBody"/>
        <w:bidi w:val="0"/>
        <w:spacing w:before="240" w:after="0"/>
        <w:jc w:val="left"/>
        <w:rPr/>
      </w:pPr>
      <w:r>
        <w:rPr/>
        <w:t>“</w:t>
      </w:r>
      <w:r>
        <w:rPr>
          <w:rFonts w:ascii="Times New Roman" w:hAnsi="Times New Roman"/>
          <w:b/>
          <w:sz w:val="20"/>
        </w:rPr>
        <w:t>Private Warrant</w:t>
      </w:r>
      <w:r>
        <w:rPr>
          <w:rFonts w:ascii="Times New Roman" w:hAnsi="Times New Roman"/>
          <w:sz w:val="20"/>
        </w:rPr>
        <w:t xml:space="preserve">” means (i) prior to the Closing, one (1) whole warrant entitling the holder thereof to purchase one (1) Class A Ordinary Share at a purchase price of $11.50 per share, and (ii) after the Closing, the equivalent warrants of New Teamshares issued in exchange for the Private Warrants of Live Oak upon consummation of the Mergers. </w:t>
      </w:r>
    </w:p>
    <w:p>
      <w:pPr>
        <w:pStyle w:val="TextBody"/>
        <w:bidi w:val="0"/>
        <w:spacing w:before="240" w:after="0"/>
        <w:jc w:val="left"/>
        <w:rPr/>
      </w:pPr>
      <w:r>
        <w:rPr/>
        <w:t>“</w:t>
      </w:r>
      <w:r>
        <w:rPr>
          <w:rFonts w:ascii="Times New Roman" w:hAnsi="Times New Roman"/>
          <w:b/>
          <w:sz w:val="20"/>
        </w:rPr>
        <w:t>Private Warrant Subscription Agreement</w:t>
      </w:r>
      <w:r>
        <w:rPr>
          <w:rFonts w:ascii="Times New Roman" w:hAnsi="Times New Roman"/>
          <w:sz w:val="20"/>
        </w:rPr>
        <w:t xml:space="preserve">” means the Warrant Subscription Agreement, dated as of February 27, 2025, between Live Oak and the Sponsor, pursuant to which the Sponsor purchased 4,500,000 Private Warrants in the Private Placement. </w:t>
      </w:r>
    </w:p>
    <w:p>
      <w:pPr>
        <w:pStyle w:val="TextBody"/>
        <w:bidi w:val="0"/>
        <w:spacing w:before="240" w:after="0"/>
        <w:jc w:val="left"/>
        <w:rPr/>
      </w:pPr>
      <w:r>
        <w:rPr/>
        <w:t>“</w:t>
      </w:r>
      <w:r>
        <w:rPr>
          <w:rFonts w:ascii="Times New Roman" w:hAnsi="Times New Roman"/>
          <w:b/>
          <w:sz w:val="20"/>
        </w:rPr>
        <w:t>Pro Rata Share</w:t>
      </w:r>
      <w:r>
        <w:rPr>
          <w:rFonts w:ascii="Times New Roman" w:hAnsi="Times New Roman"/>
          <w:sz w:val="20"/>
        </w:rPr>
        <w:t xml:space="preserve">” means, with respect to each Company Stockholder, a fraction expressed as a percentage equal to (i) the portion of the Stockholder Merger Consideration issuable at the Closing to such Company Stockholder in accordance with the terms of the Merger Agreement, divided by (ii) the total Stockholder Merger Consideration issuable to all Company Stockholders at the Closing in accordance with the terms of the Agreement. </w:t>
      </w:r>
    </w:p>
    <w:p>
      <w:pPr>
        <w:pStyle w:val="TextBody"/>
        <w:bidi w:val="0"/>
        <w:spacing w:before="240" w:after="0"/>
        <w:jc w:val="left"/>
        <w:rPr/>
      </w:pPr>
      <w:r>
        <w:rPr/>
        <w:t>“</w:t>
      </w:r>
      <w:r>
        <w:rPr>
          <w:rFonts w:ascii="Times New Roman" w:hAnsi="Times New Roman"/>
          <w:b/>
          <w:sz w:val="20"/>
        </w:rPr>
        <w:t>Public Shareholders</w:t>
      </w:r>
      <w:r>
        <w:rPr>
          <w:rFonts w:ascii="Times New Roman" w:hAnsi="Times New Roman"/>
          <w:sz w:val="20"/>
        </w:rPr>
        <w:t xml:space="preserve">” means the holders of Public Shares of Live Oak. </w:t>
      </w:r>
    </w:p>
    <w:p>
      <w:pPr>
        <w:pStyle w:val="TextBody"/>
        <w:bidi w:val="0"/>
        <w:spacing w:before="240" w:after="0"/>
        <w:jc w:val="left"/>
        <w:rPr/>
      </w:pPr>
      <w:r>
        <w:rPr/>
        <w:t>“</w:t>
      </w:r>
      <w:r>
        <w:rPr>
          <w:rFonts w:ascii="Times New Roman" w:hAnsi="Times New Roman"/>
          <w:b/>
          <w:sz w:val="20"/>
        </w:rPr>
        <w:t>Public Shares</w:t>
      </w:r>
      <w:r>
        <w:rPr>
          <w:rFonts w:ascii="Times New Roman" w:hAnsi="Times New Roman"/>
          <w:sz w:val="20"/>
        </w:rPr>
        <w:t xml:space="preserve">” means the Live Oak Class A Shares initially sold in Live Oak’s initial public offering. </w:t>
      </w:r>
    </w:p>
    <w:p>
      <w:pPr>
        <w:pStyle w:val="TextBody"/>
        <w:bidi w:val="0"/>
        <w:spacing w:before="240" w:after="0"/>
        <w:jc w:val="left"/>
        <w:rPr/>
      </w:pPr>
      <w:r>
        <w:rPr/>
        <w:t>“</w:t>
      </w:r>
      <w:r>
        <w:rPr>
          <w:rFonts w:ascii="Times New Roman" w:hAnsi="Times New Roman"/>
          <w:b/>
          <w:sz w:val="20"/>
        </w:rPr>
        <w:t>Public Warrant</w:t>
      </w:r>
      <w:r>
        <w:rPr>
          <w:rFonts w:ascii="Times New Roman" w:hAnsi="Times New Roman"/>
          <w:sz w:val="20"/>
        </w:rPr>
        <w:t xml:space="preserve">” means (i) prior to the Closing, one (1) whole redeemable warrant that was included in as part of each Unit, entitling the holder thereof to purchase one (1) Class A Ordinary Share at a purchase price of $11.50 per share, and (ii) after the Closing, the equivalent warrants of New Teamshares issued in exchange for the Public Warrants of Live Oak upon consummation of the Mergers. </w:t>
      </w:r>
    </w:p>
    <w:p>
      <w:pPr>
        <w:pStyle w:val="TextBody"/>
        <w:bidi w:val="0"/>
        <w:spacing w:before="240" w:after="0"/>
        <w:jc w:val="left"/>
        <w:rPr/>
      </w:pPr>
      <w:r>
        <w:rPr/>
        <w:t>“</w:t>
      </w:r>
      <w:r>
        <w:rPr>
          <w:rFonts w:ascii="Times New Roman" w:hAnsi="Times New Roman"/>
          <w:b/>
          <w:sz w:val="20"/>
        </w:rPr>
        <w:t>Qualifying Change of Control Transaction</w:t>
      </w:r>
      <w:r>
        <w:rPr>
          <w:rFonts w:ascii="Times New Roman" w:hAnsi="Times New Roman"/>
          <w:sz w:val="20"/>
        </w:rPr>
        <w:t xml:space="preserve">” means a transaction involving and consummated by New Teamshares during the Earnout Period which constitutes a Change of Control in which the implied price per share of Common Stock equals or exceeds $12.00 per share. </w:t>
      </w:r>
    </w:p>
    <w:p>
      <w:pPr>
        <w:pStyle w:val="TextBody"/>
        <w:bidi w:val="0"/>
        <w:spacing w:before="240" w:after="0"/>
        <w:jc w:val="left"/>
        <w:rPr/>
      </w:pPr>
      <w:r>
        <w:rPr/>
        <w:t>“</w:t>
      </w:r>
      <w:r>
        <w:rPr>
          <w:rFonts w:ascii="Times New Roman" w:hAnsi="Times New Roman"/>
          <w:b/>
          <w:sz w:val="20"/>
        </w:rPr>
        <w:t>Registration Rights Agreement</w:t>
      </w:r>
      <w:r>
        <w:rPr>
          <w:rFonts w:ascii="Times New Roman" w:hAnsi="Times New Roman"/>
          <w:sz w:val="20"/>
        </w:rPr>
        <w:t xml:space="preserve">” means the amended and restated registration rights agreement, dated as of June 18, 2026, entered into by and among the Company, the Sponsor, Teamshares Stockholders and the PIPE Investors at the Closing. </w:t>
      </w:r>
    </w:p>
    <w:p>
      <w:pPr>
        <w:pStyle w:val="TextBody"/>
        <w:bidi w:val="0"/>
        <w:spacing w:before="240" w:after="0"/>
        <w:jc w:val="left"/>
        <w:rPr/>
      </w:pPr>
      <w:r>
        <w:rPr/>
        <w:t>“</w:t>
      </w:r>
      <w:r>
        <w:rPr>
          <w:rFonts w:ascii="Times New Roman" w:hAnsi="Times New Roman"/>
          <w:b/>
          <w:sz w:val="20"/>
        </w:rPr>
        <w:t>Rule</w:t>
      </w:r>
      <w:r>
        <w:rPr>
          <w:rFonts w:ascii="Times New Roman" w:hAnsi="Times New Roman"/>
          <w:sz w:val="20"/>
        </w:rPr>
        <w:t> </w:t>
      </w:r>
      <w:r>
        <w:rPr>
          <w:rFonts w:ascii="Times New Roman" w:hAnsi="Times New Roman"/>
          <w:b/>
          <w:sz w:val="20"/>
        </w:rPr>
        <w:t>144</w:t>
      </w:r>
      <w:r>
        <w:rPr>
          <w:rFonts w:ascii="Times New Roman" w:hAnsi="Times New Roman"/>
          <w:sz w:val="20"/>
        </w:rPr>
        <w:t xml:space="preserve">” means Rule 144 under the Securities Act. </w:t>
      </w:r>
    </w:p>
    <w:p>
      <w:pPr>
        <w:pStyle w:val="TextBody"/>
        <w:bidi w:val="0"/>
        <w:spacing w:before="240" w:after="0"/>
        <w:jc w:val="left"/>
        <w:rPr/>
      </w:pPr>
      <w:r>
        <w:rPr/>
        <w:t>“</w:t>
      </w:r>
      <w:r>
        <w:rPr>
          <w:rFonts w:ascii="Times New Roman" w:hAnsi="Times New Roman"/>
          <w:b/>
          <w:sz w:val="20"/>
        </w:rPr>
        <w:t>SAFE Investors</w:t>
      </w:r>
      <w:r>
        <w:rPr>
          <w:rFonts w:ascii="Times New Roman" w:hAnsi="Times New Roman"/>
          <w:sz w:val="20"/>
        </w:rPr>
        <w:t xml:space="preserve">” means, collectively, investors in the Teamshares SAFEs. </w:t>
      </w:r>
    </w:p>
    <w:p>
      <w:pPr>
        <w:pStyle w:val="TextBody"/>
        <w:bidi w:val="0"/>
        <w:spacing w:before="240" w:after="0"/>
        <w:jc w:val="left"/>
        <w:rPr/>
      </w:pPr>
      <w:r>
        <w:rPr/>
        <w:t>“</w:t>
      </w:r>
      <w:r>
        <w:rPr>
          <w:rFonts w:ascii="Times New Roman" w:hAnsi="Times New Roman"/>
          <w:b/>
          <w:sz w:val="20"/>
        </w:rPr>
        <w:t>SAFE Investor New Teamshares Shares</w:t>
      </w:r>
      <w:r>
        <w:rPr>
          <w:rFonts w:ascii="Times New Roman" w:hAnsi="Times New Roman"/>
          <w:sz w:val="20"/>
        </w:rPr>
        <w:t xml:space="preserve">” means the shares of Common Stock deliverable to the SAFE Investors at the Closing of the Business Combination. </w:t>
      </w:r>
    </w:p>
    <w:p>
      <w:pPr>
        <w:pStyle w:val="TextBody"/>
        <w:bidi w:val="0"/>
        <w:spacing w:before="240" w:after="0"/>
        <w:jc w:val="left"/>
        <w:rPr/>
      </w:pPr>
      <w:r>
        <w:rPr/>
        <w:t>“</w:t>
      </w:r>
      <w:r>
        <w:rPr>
          <w:rFonts w:ascii="Times New Roman" w:hAnsi="Times New Roman"/>
          <w:b/>
          <w:sz w:val="20"/>
        </w:rPr>
        <w:t>SAFE Investor Founder Shares</w:t>
      </w:r>
      <w:r>
        <w:rPr>
          <w:rFonts w:ascii="Times New Roman" w:hAnsi="Times New Roman"/>
          <w:sz w:val="20"/>
        </w:rPr>
        <w:t xml:space="preserve">” means the Incentive Founder Shares expected to be delivered at or prior to the Closing to the SAFE Investors pursuant to and in accordance with the terms of the Teamshares SAFEs and Incentive Founder Share transfer documents. </w:t>
      </w:r>
    </w:p>
    <w:p>
      <w:pPr>
        <w:pStyle w:val="TextBody"/>
        <w:bidi w:val="0"/>
        <w:spacing w:before="240" w:after="0"/>
        <w:jc w:val="left"/>
        <w:rPr/>
      </w:pPr>
      <w:r>
        <w:rPr/>
        <w:t>“</w:t>
      </w:r>
      <w:r>
        <w:rPr>
          <w:rFonts w:ascii="Times New Roman" w:hAnsi="Times New Roman"/>
          <w:b/>
          <w:sz w:val="20"/>
        </w:rPr>
        <w:t>Sarbanes-Oxley Act</w:t>
      </w:r>
      <w:r>
        <w:rPr>
          <w:rFonts w:ascii="Times New Roman" w:hAnsi="Times New Roman"/>
          <w:sz w:val="20"/>
        </w:rPr>
        <w:t xml:space="preserve">” means the Sarbanes-Oxley Act of 2002.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Second Merger</w:t>
      </w:r>
      <w:r>
        <w:rPr>
          <w:rFonts w:ascii="Times New Roman" w:hAnsi="Times New Roman"/>
          <w:sz w:val="20"/>
        </w:rPr>
        <w:t xml:space="preserve">” means the merger that occurred immediately following, and as part of the same transaction as, the First Merger, in accordance with the terms of the Merger Agreement, of the Surviving Corporation with and into Merger Sub II, with Merger Sub II surviving as the Surviving Entity in such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Second Effective Time</w:t>
      </w:r>
      <w:r>
        <w:rPr>
          <w:rFonts w:ascii="Times New Roman" w:hAnsi="Times New Roman"/>
          <w:sz w:val="20"/>
        </w:rPr>
        <w:t xml:space="preserve">” means the effective time of the Second Merger. </w:t>
      </w:r>
    </w:p>
    <w:p>
      <w:pPr>
        <w:pStyle w:val="TextBody"/>
        <w:bidi w:val="0"/>
        <w:spacing w:before="240" w:after="0"/>
        <w:jc w:val="left"/>
        <w:rPr/>
      </w:pPr>
      <w:r>
        <w:rPr/>
        <w:t>“</w:t>
      </w:r>
      <w:r>
        <w:rPr>
          <w:rFonts w:ascii="Times New Roman" w:hAnsi="Times New Roman"/>
          <w:b/>
          <w:sz w:val="20"/>
        </w:rPr>
        <w:t>Second Insider Letter Amendment</w:t>
      </w:r>
      <w:r>
        <w:rPr>
          <w:rFonts w:ascii="Times New Roman" w:hAnsi="Times New Roman"/>
          <w:sz w:val="20"/>
        </w:rPr>
        <w:t xml:space="preserve">” means that certain Second Insider Letter Amendment, dated as of April 1, 2026, by and among Live Oak, the Sponsor and Live Oak directors and officers signatory thereto, effective as of the Closing. </w:t>
      </w:r>
    </w:p>
    <w:p>
      <w:pPr>
        <w:pStyle w:val="TextBody"/>
        <w:bidi w:val="0"/>
        <w:spacing w:before="240" w:after="0"/>
        <w:jc w:val="left"/>
        <w:rPr/>
      </w:pPr>
      <w:r>
        <w:rPr/>
        <w:t>“</w:t>
      </w:r>
      <w:r>
        <w:rPr>
          <w:rFonts w:ascii="Times New Roman" w:hAnsi="Times New Roman"/>
          <w:b/>
          <w:sz w:val="20"/>
        </w:rPr>
        <w:t>Second MA Amendment</w:t>
      </w:r>
      <w:r>
        <w:rPr>
          <w:rFonts w:ascii="Times New Roman" w:hAnsi="Times New Roman"/>
          <w:sz w:val="20"/>
        </w:rPr>
        <w:t xml:space="preserve">” means that certain Second Amendment, dated as of May 13, 2026, to the Original Merger Agreement entered into by Live Oak, Legacy Teamshares and the other parties to the Original Merger Agreement, as amended by the First MA Amendment.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sz w:val="20"/>
        </w:rPr>
        <w:t>Significant Company Holder Lock-Up Agreements</w:t>
      </w:r>
      <w:r>
        <w:rPr>
          <w:rFonts w:ascii="Times New Roman" w:hAnsi="Times New Roman"/>
          <w:sz w:val="20"/>
        </w:rPr>
        <w:t xml:space="preserve">” means the lock-up agreements entered into simultaneously with the execution of the Original Merger Agreement among Live Oak, the SPAC Representative and certain Teamshares stockholders pursuant to which each of those Teamshares stockholders agreed to certain transfer and other restrictions applicable to the shares of Common Stock they received in the Merger for a period of time after the Closing. </w:t>
      </w:r>
    </w:p>
    <w:p>
      <w:pPr>
        <w:pStyle w:val="TextBody"/>
        <w:bidi w:val="0"/>
        <w:spacing w:before="240" w:after="0"/>
        <w:jc w:val="left"/>
        <w:rPr/>
      </w:pPr>
      <w:r>
        <w:rPr/>
        <w:t>“</w:t>
      </w:r>
      <w:r>
        <w:rPr>
          <w:rFonts w:ascii="Times New Roman" w:hAnsi="Times New Roman"/>
          <w:b/>
          <w:sz w:val="20"/>
        </w:rPr>
        <w:t>Sponsor</w:t>
      </w:r>
      <w:r>
        <w:rPr>
          <w:rFonts w:ascii="Times New Roman" w:hAnsi="Times New Roman"/>
          <w:sz w:val="20"/>
        </w:rPr>
        <w:t xml:space="preserve">” means Live Oak Sponsor V LLC, a Delaware limited liability company. </w:t>
      </w:r>
    </w:p>
    <w:p>
      <w:pPr>
        <w:pStyle w:val="TextBody"/>
        <w:bidi w:val="0"/>
        <w:spacing w:before="240" w:after="0"/>
        <w:jc w:val="left"/>
        <w:rPr/>
      </w:pPr>
      <w:r>
        <w:rPr/>
        <w:t>“</w:t>
      </w:r>
      <w:r>
        <w:rPr>
          <w:rFonts w:ascii="Times New Roman" w:hAnsi="Times New Roman"/>
          <w:b/>
          <w:sz w:val="20"/>
        </w:rPr>
        <w:t>Surviving Corporation</w:t>
      </w:r>
      <w:r>
        <w:rPr>
          <w:rFonts w:ascii="Times New Roman" w:hAnsi="Times New Roman"/>
          <w:sz w:val="20"/>
        </w:rPr>
        <w:t xml:space="preserve">” means Legacy Teamshares, as the surviving corporation in the First Merger. </w:t>
      </w:r>
    </w:p>
    <w:p>
      <w:pPr>
        <w:pStyle w:val="TextBody"/>
        <w:bidi w:val="0"/>
        <w:spacing w:before="240" w:after="0"/>
        <w:jc w:val="left"/>
        <w:rPr/>
      </w:pPr>
      <w:r>
        <w:rPr/>
        <w:t>“</w:t>
      </w:r>
      <w:r>
        <w:rPr>
          <w:rFonts w:ascii="Times New Roman" w:hAnsi="Times New Roman"/>
          <w:b/>
          <w:sz w:val="20"/>
        </w:rPr>
        <w:t>Surviving Entity</w:t>
      </w:r>
      <w:r>
        <w:rPr>
          <w:rFonts w:ascii="Times New Roman" w:hAnsi="Times New Roman"/>
          <w:sz w:val="20"/>
        </w:rPr>
        <w:t xml:space="preserve">” means Merger Sub II, as the surviving entity in the Second Merger, renamed “Teamshares LLC”. </w:t>
      </w:r>
    </w:p>
    <w:p>
      <w:pPr>
        <w:pStyle w:val="TextBody"/>
        <w:bidi w:val="0"/>
        <w:spacing w:before="240" w:after="0"/>
        <w:jc w:val="left"/>
        <w:rPr/>
      </w:pPr>
      <w:r>
        <w:rPr/>
        <w:t>“</w:t>
      </w:r>
      <w:r>
        <w:rPr>
          <w:rFonts w:ascii="Times New Roman" w:hAnsi="Times New Roman"/>
          <w:b/>
          <w:sz w:val="20"/>
        </w:rPr>
        <w:t>Teamshares SAFEs</w:t>
      </w:r>
      <w:r>
        <w:rPr>
          <w:rFonts w:ascii="Times New Roman" w:hAnsi="Times New Roman"/>
          <w:sz w:val="20"/>
        </w:rPr>
        <w:t xml:space="preserve">” means, collectively, the simple agreements for future equity entered into by Legacy Teamshares and SAFE Investors between December 2025 and May 2026, which Teamshares SAFEs automatically converted into shares of Common Stock in connection with Closing. </w:t>
      </w:r>
    </w:p>
    <w:p>
      <w:pPr>
        <w:pStyle w:val="TextBody"/>
        <w:bidi w:val="0"/>
        <w:spacing w:before="240" w:after="0"/>
        <w:jc w:val="left"/>
        <w:rPr/>
      </w:pPr>
      <w:r>
        <w:rPr/>
        <w:t>“</w:t>
      </w:r>
      <w:r>
        <w:rPr>
          <w:rFonts w:ascii="Times New Roman" w:hAnsi="Times New Roman"/>
          <w:b/>
          <w:sz w:val="20"/>
        </w:rPr>
        <w:t>Teamshares Stockholders</w:t>
      </w:r>
      <w:r>
        <w:rPr>
          <w:rFonts w:ascii="Times New Roman" w:hAnsi="Times New Roman"/>
          <w:sz w:val="20"/>
        </w:rPr>
        <w:t xml:space="preserve">” means the stockholders of Legacy Teamshares as of immediately prior to the First Effective Time. </w:t>
      </w:r>
    </w:p>
    <w:p>
      <w:pPr>
        <w:pStyle w:val="TextBody"/>
        <w:bidi w:val="0"/>
        <w:spacing w:before="240" w:after="0"/>
        <w:jc w:val="left"/>
        <w:rPr/>
      </w:pPr>
      <w:r>
        <w:rPr/>
        <w:t>“</w:t>
      </w:r>
      <w:r>
        <w:rPr>
          <w:rFonts w:ascii="Times New Roman" w:hAnsi="Times New Roman"/>
          <w:b/>
          <w:sz w:val="20"/>
        </w:rPr>
        <w:t>Transactions</w:t>
      </w:r>
      <w:r>
        <w:rPr>
          <w:rFonts w:ascii="Times New Roman" w:hAnsi="Times New Roman"/>
          <w:sz w:val="20"/>
        </w:rPr>
        <w:t xml:space="preserve">” means all of the actions and transactions comprising the Business Combination, including all of the transactions contemplated by the Merger Agreement, the Ancillary Agreements and any other agreements entered into in connection with the Closing, including the issuance of New Teamshares securities pursuant to the foregoing. </w:t>
      </w:r>
    </w:p>
    <w:p>
      <w:pPr>
        <w:pStyle w:val="TextBody"/>
        <w:bidi w:val="0"/>
        <w:spacing w:before="240" w:after="0"/>
        <w:jc w:val="left"/>
        <w:rPr/>
      </w:pPr>
      <w:r>
        <w:rPr/>
        <w:t>“</w:t>
      </w:r>
      <w:r>
        <w:rPr>
          <w:rFonts w:ascii="Times New Roman" w:hAnsi="Times New Roman"/>
          <w:b/>
          <w:sz w:val="20"/>
        </w:rPr>
        <w:t>Trust Account</w:t>
      </w:r>
      <w:r>
        <w:rPr>
          <w:rFonts w:ascii="Times New Roman" w:hAnsi="Times New Roman"/>
          <w:sz w:val="20"/>
        </w:rPr>
        <w:t xml:space="preserve">” means the trust account of Live Oak that holds the proceeds from the IPO and certain of the proceeds from the sale of the Private Placement Units. </w:t>
      </w:r>
    </w:p>
    <w:p>
      <w:pPr>
        <w:pStyle w:val="TextBody"/>
        <w:bidi w:val="0"/>
        <w:spacing w:before="240" w:after="0"/>
        <w:jc w:val="left"/>
        <w:rPr/>
      </w:pPr>
      <w:r>
        <w:rPr/>
        <w:t>“</w:t>
      </w:r>
      <w:r>
        <w:rPr>
          <w:rFonts w:ascii="Times New Roman" w:hAnsi="Times New Roman"/>
          <w:b/>
          <w:sz w:val="20"/>
        </w:rPr>
        <w:t>Warrants</w:t>
      </w:r>
      <w:r>
        <w:rPr>
          <w:rFonts w:ascii="Times New Roman" w:hAnsi="Times New Roman"/>
          <w:sz w:val="20"/>
        </w:rPr>
        <w:t xml:space="preserve">” means Private Warrants and Public Warrants, collectively. </w:t>
      </w:r>
    </w:p>
    <w:p>
      <w:pPr>
        <w:pStyle w:val="TextBody"/>
        <w:bidi w:val="0"/>
        <w:spacing w:before="240" w:after="0"/>
        <w:jc w:val="left"/>
        <w:rPr/>
      </w:pPr>
      <w:r>
        <w:rPr/>
        <w:t>“</w:t>
      </w:r>
      <w:r>
        <w:rPr>
          <w:rFonts w:ascii="Times New Roman" w:hAnsi="Times New Roman"/>
          <w:b/>
          <w:sz w:val="20"/>
        </w:rPr>
        <w:t>Warrant Agent</w:t>
      </w:r>
      <w:r>
        <w:rPr>
          <w:rFonts w:ascii="Times New Roman" w:hAnsi="Times New Roman"/>
          <w:sz w:val="20"/>
        </w:rPr>
        <w:t xml:space="preserve">” means Continental Stock Transfer &amp; Trust Company in its capacity as Warrant Agent for purposes of the Warrant Agreement. </w:t>
      </w:r>
    </w:p>
    <w:p>
      <w:pPr>
        <w:pStyle w:val="TextBody"/>
        <w:bidi w:val="0"/>
        <w:spacing w:before="240" w:after="0"/>
        <w:jc w:val="left"/>
        <w:rPr/>
      </w:pPr>
      <w:r>
        <w:rPr/>
        <w:t>“</w:t>
      </w:r>
      <w:r>
        <w:rPr>
          <w:rFonts w:ascii="Times New Roman" w:hAnsi="Times New Roman"/>
          <w:b/>
          <w:sz w:val="20"/>
        </w:rPr>
        <w:t>Warrant Agreement</w:t>
      </w:r>
      <w:r>
        <w:rPr>
          <w:rFonts w:ascii="Times New Roman" w:hAnsi="Times New Roman"/>
          <w:sz w:val="20"/>
        </w:rPr>
        <w:t xml:space="preserve">” means the Warrant Agreement between Live Oak and Continental Stock Transfer &amp; Trust Company, in its capacity as Warrant Agent, entered into in connection with Live Oak’s IPO. </w:t>
      </w:r>
    </w:p>
    <w:p>
      <w:pPr>
        <w:pStyle w:val="TextBody"/>
        <w:bidi w:val="0"/>
        <w:spacing w:before="240" w:after="0"/>
        <w:jc w:val="left"/>
        <w:rPr/>
      </w:pPr>
      <w:r>
        <w:rPr/>
        <w:t>“</w:t>
      </w:r>
      <w:r>
        <w:rPr>
          <w:rFonts w:ascii="Times New Roman" w:hAnsi="Times New Roman"/>
          <w:b/>
          <w:sz w:val="20"/>
        </w:rPr>
        <w:t>2020 Plan</w:t>
      </w:r>
      <w:r>
        <w:rPr>
          <w:rFonts w:ascii="Times New Roman" w:hAnsi="Times New Roman"/>
          <w:sz w:val="20"/>
        </w:rPr>
        <w:t xml:space="preserve">” means the Teamshares Inc. 2020 Equity Incentive Plan,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58823_3"/>
      <w:bookmarkEnd w:id="5"/>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and any amendment or supplement to this prospectus may include, estimates regarding market and industry data and forecasts, which are based on our own estimates utilizing our management’s knowledge of and experience in, as well as information obtained from our subscribers, trade and business organizations, and other contacts in the market sectors in which we compete, and from statistical information obtained from publicly available information, industry publications and surveys, reports from government agencies, and reports by market research firms. We confirm that, where such information is reproduced herein, such information has been accurately reproduced and that, so far as we are aware and are able to ascertain from information published by publicly available sources and other publications, no facts have been omitted that would render the reproduced information inaccurate or misleading. Industry publications, reports, and other published data generally state that the information contained therein has been obtained from sources believed to be reliable, but we cannot assure you that the information contained in these reports, and therefore the information contained in this prospectus or any amendment or supplement to this prospectus that is derived therefrom, is accurate or complete. Our estimates of our market position may prove to be inaccurate because of the method by which we obtain some of the data for our estimates or because this information cannot always be verified with complete certainty due to the limits on the availability and reliability of raw data, the voluntary nature of the data gathering process, and other limitations and uncertainties. As a result, although we believe our sources are reliable, we have not independently verified the information and cannot guarantee its accuracy and completeness. </w:t>
      </w:r>
    </w:p>
    <w:p>
      <w:pPr>
        <w:pStyle w:val="TextBody"/>
        <w:bidi w:val="0"/>
        <w:spacing w:before="480" w:after="0"/>
        <w:jc w:val="center"/>
        <w:rPr>
          <w:rFonts w:ascii="Times New Roman" w:hAnsi="Times New Roman"/>
          <w:b/>
          <w:sz w:val="20"/>
        </w:rPr>
      </w:pPr>
      <w:bookmarkStart w:id="6" w:name="toc58823_4"/>
      <w:bookmarkEnd w:id="6"/>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within the meaning of Section 27A of the Securities Act and Section 21E of the Exchange Act. All statements other than statements of historical facts contained in this prospectus are forward-looking statements. Such statements can be identified by the fact that they do not relate strictly to historical or current facts. When used in this prospectus,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 These forward-looking statements include, but are not limited to statements regarding our operations, our financial performance and our industry; our business strategy, business plan, and plans to drive long term sustainable shareholder value; our expectations on revenue and cash generation. These forward-looking statements reflect the Company’s 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forward-looking statements. The following important factors and uncertainties, among others, could cause actual outcomes or results to differ materially from those indicated by the forward-looking statements in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the benefits expected from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the Common Stock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public securities’ potential liquidity and trading;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raise financing in the future and to comply with restrictive covenants related to long-term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or recruit, or to effect changes required in, our officers, key employees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upon the efforts of our Board and key personnel to be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limited operating history;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the time during which the Company will be an “emerging growth company” under the Jumpstart Our Business Startups Act of 2012,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manage our growth effectively;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existing or new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successfully acquire, integrate and grow small-to-medium-sized businesses and implement its tech-enabled employee ownership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the market to achieve the growth potential we expect;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customer concentration;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history of losses and failure to achieve profitability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various laws and regulations relating to various aspects of our business and any changes in the funding levels of various governmental entities with which we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protect the confidentiality of our trade secrets and know how;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our failure to comply with the terms of third</w:t>
            </w:r>
            <w:r>
              <w:rPr>
                <w:rFonts w:ascii="Times New Roman" w:hAnsi="Times New Roman"/>
                <w:b/>
                <w:sz w:val="20"/>
              </w:rPr>
              <w:t>-</w:t>
            </w:r>
            <w:r>
              <w:rPr>
                <w:rFonts w:ascii="Times New Roman" w:hAnsi="Times New Roman"/>
                <w:sz w:val="20"/>
              </w:rPr>
              <w:t xml:space="preserve">party open source software our systems utilize;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an effective system of internal control over financial reporting, and to address and remediate existing material weaknesses in our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other factors detailed under the section of this prospectus entitled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as of the date of this prospectus and the Company’s management team’s current expectations, forecasts, and assumptions, and involve a number of judgments, known and unknown risks, and uncertainties and other factors, many of which are outside the control of the Company and its directors, officers and affiliates. Accordingly, forward-looking statements should not be relied upon as representing our views as of any subsequent date, and we do not undertake any obligation to update, add or to otherwise correct any forward-looking statements to reflect events or circumstances after the date they were made, whether as a result of new information, future events, inaccuracies that become apparent after the date hereof, or otherwise, except as may be required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a number of known and unknown risks and uncertainties, our actual results or performance may be materially different from those expressed or implied by these forward-looking statements. You should not place undue reliance on these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toc58823_5"/>
      <w:bookmarkEnd w:id="7"/>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from this prospectus and may not contain all of the information that is important to you in making an investment decision. Before investing in our securities, you should read this entire document carefully, including our financial statements and the related notes included in this prospectus and the information set forth under the headings “Risk Factors” and “Management’s Discussion and Analysis of Financial Condition and Results of Operations.” Some of the statements in this prospectus constitute forward-looking statements. See “Cautionary Statement Regarding Forward-Looking Statements.”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Teamshares is a tech-enabled acquiror of high-quality SMEs intending to be a permanent home for businesses. Part holding company, part fintech, Teamshares programmatically acquires companies with $0.5 to $5 million of EBITDA from retiring owners, integrates them with the Teamshares platform, and helps employees earn company stock. Our acquisition-based business model aims to drive predictable, repeatable growth and scale through financial technology.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Teamshares is among the largest acquirors of SMEs in the United States, with a differentiated, innovative model. In just six years, we have scaled to over $400 million in consolidated revenue among our Operating Subsidiaries, diversified across over 40 industries and 30 states. Teamshares’ growth is made possible by our scalable platform that combines centralized financial technology with decentralized, aligned leadership.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Teamshares’ software drives scale and efficiency across the entire company lifecycle. It helps source, underwrite, and close acquisitions efficiently and programmatically, and then provides standardized financial and operating visibility for every company. Teamshares leverages AI to scale our platform and data-driven decision-making, with each acquisition contributing data we believe compounds platform value over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analyze thousands of opportunities annually through our software, targeting retirement situations for companies with strong cash flow conversion. Teamshares’ average acquired company has been in operation for more than 35 years, demonstrating durability across economic cycles.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American economy has 6 million SMEs with up to 100 employees. Over 3 million of these companies have owners aged 55 or older and likely need to sell over the coming decades, with a limited universe of credible buyers. Teamshares aims to scale as a differentiated ‘exit of choice’ for thousands of high-quality SMEs over the long term.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From systematic sourcing to institutional leadership and centralized cash control, Teamshares aims to evolve a fragmented, founder-driven asset class into an institutionalized platform that we believe can scale predictably and deliver durable financial growth.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Business Combination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As previously announced, on November 14, 2025, Live Oak Acquisition Corp. V, a Cayman Islands exempted company (“</w:t>
      </w:r>
      <w:r>
        <w:rPr>
          <w:rFonts w:ascii="Times New Roman" w:hAnsi="Times New Roman"/>
          <w:b/>
          <w:sz w:val="20"/>
          <w:bdr w:val="single" w:sz="8" w:space="1" w:color="000000"/>
        </w:rPr>
        <w:t>Live Oak</w:t>
      </w:r>
      <w:r>
        <w:rPr>
          <w:rFonts w:ascii="Times New Roman" w:hAnsi="Times New Roman"/>
          <w:sz w:val="20"/>
          <w:bdr w:val="single" w:sz="8" w:space="1" w:color="000000"/>
        </w:rPr>
        <w:t>”), entered into an Agreement and Plan of Merger (as amended by the First Amendment dated April 1, 2026 and the Second Amendment dated May 13, 2026, the “</w:t>
      </w:r>
      <w:r>
        <w:rPr>
          <w:rFonts w:ascii="Times New Roman" w:hAnsi="Times New Roman"/>
          <w:b/>
          <w:sz w:val="20"/>
          <w:bdr w:val="single" w:sz="8" w:space="1" w:color="000000"/>
        </w:rPr>
        <w:t>Merger Agreement</w:t>
      </w:r>
      <w:r>
        <w:rPr>
          <w:rFonts w:ascii="Times New Roman" w:hAnsi="Times New Roman"/>
          <w:sz w:val="20"/>
          <w:bdr w:val="single" w:sz="8" w:space="1" w:color="000000"/>
        </w:rPr>
        <w:t>”), by and among Live Oak, Catalyst Sub Inc., a Delaware corporation and a direct, wholly-owned subsidiary of Live Oak (“</w:t>
      </w:r>
      <w:r>
        <w:rPr>
          <w:rFonts w:ascii="Times New Roman" w:hAnsi="Times New Roman"/>
          <w:b/>
          <w:sz w:val="20"/>
          <w:bdr w:val="single" w:sz="8" w:space="1" w:color="000000"/>
        </w:rPr>
        <w:t>Merger Sub</w:t>
      </w:r>
      <w:r>
        <w:rPr>
          <w:rFonts w:ascii="Times New Roman" w:hAnsi="Times New Roman"/>
          <w:sz w:val="20"/>
          <w:bdr w:val="single" w:sz="8" w:space="1" w:color="000000"/>
        </w:rPr>
        <w:t>”), Catalyst Sub 2 LLC, a Delaware limited liability company and a direct, wholly-owned subsidiary of Live Oak (“</w:t>
      </w:r>
      <w:r>
        <w:rPr>
          <w:rFonts w:ascii="Times New Roman" w:hAnsi="Times New Roman"/>
          <w:b/>
          <w:sz w:val="20"/>
          <w:bdr w:val="single" w:sz="8" w:space="1" w:color="000000"/>
        </w:rPr>
        <w:t>Merger Sub II</w:t>
      </w:r>
      <w:r>
        <w:rPr>
          <w:rFonts w:ascii="Times New Roman" w:hAnsi="Times New Roman"/>
          <w:sz w:val="20"/>
          <w:bdr w:val="single" w:sz="8" w:space="1" w:color="000000"/>
        </w:rPr>
        <w:t>,” to be renamed “Teamshares LLC” effective at Closing), Live Oak Sponsor V LLC, in its capacity as SPAC Representative (the “</w:t>
      </w:r>
      <w:r>
        <w:rPr>
          <w:rFonts w:ascii="Times New Roman" w:hAnsi="Times New Roman"/>
          <w:b/>
          <w:sz w:val="20"/>
          <w:bdr w:val="single" w:sz="8" w:space="1" w:color="000000"/>
        </w:rPr>
        <w:t>Sponsor</w:t>
      </w:r>
      <w:r>
        <w:rPr>
          <w:rFonts w:ascii="Times New Roman" w:hAnsi="Times New Roman"/>
          <w:sz w:val="20"/>
          <w:bdr w:val="single" w:sz="8" w:space="1" w:color="000000"/>
        </w:rPr>
        <w:t xml:space="preserve">”), Brian Gaebe, in his capacity as Seller Representative, and Legacy Teamshares.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On June 18, 2026 (the “</w:t>
      </w:r>
      <w:r>
        <w:rPr>
          <w:rFonts w:ascii="Times New Roman" w:hAnsi="Times New Roman"/>
          <w:b/>
          <w:sz w:val="20"/>
          <w:bdr w:val="single" w:sz="8" w:space="1" w:color="000000"/>
        </w:rPr>
        <w:t>Closing Date</w:t>
      </w:r>
      <w:r>
        <w:rPr>
          <w:rFonts w:ascii="Times New Roman" w:hAnsi="Times New Roman"/>
          <w:sz w:val="20"/>
          <w:bdr w:val="single" w:sz="8" w:space="1" w:color="000000"/>
        </w:rPr>
        <w:t>”), as contemplated by the Merger Agreement, Live Oak, Merger Sub, Merger Sub II and Legacy Teamshares consummated the transactions contemplated by the Merger Agreement and its related agreements (the “</w:t>
      </w:r>
      <w:r>
        <w:rPr>
          <w:rFonts w:ascii="Times New Roman" w:hAnsi="Times New Roman"/>
          <w:b/>
          <w:sz w:val="20"/>
          <w:bdr w:val="single" w:sz="8" w:space="1" w:color="000000"/>
        </w:rPr>
        <w:t>Transactions</w:t>
      </w:r>
      <w:r>
        <w:rPr>
          <w:rFonts w:ascii="Times New Roman" w:hAnsi="Times New Roman"/>
          <w:sz w:val="20"/>
          <w:bdr w:val="single" w:sz="8" w:space="1" w:color="000000"/>
        </w:rPr>
        <w:t>”), culminating in (i) Live Oak de-registering from the Register of Companies in the Cayman Islands and transferring by way of continuation out of the Cayman Islands and into the State of Delaware so as to become a Delaware corporation (the “</w:t>
      </w:r>
      <w:r>
        <w:rPr>
          <w:rFonts w:ascii="Times New Roman" w:hAnsi="Times New Roman"/>
          <w:b/>
          <w:sz w:val="20"/>
          <w:bdr w:val="single" w:sz="8" w:space="1" w:color="000000"/>
        </w:rPr>
        <w:t>Domestication</w:t>
      </w:r>
      <w:r>
        <w:rPr>
          <w:rFonts w:ascii="Times New Roman" w:hAnsi="Times New Roman"/>
          <w:sz w:val="20"/>
          <w:bdr w:val="single" w:sz="8" w:space="1" w:color="000000"/>
        </w:rPr>
        <w:t>”), (ii) Merger Sub merging with and into Legacy Teamshares, with Legacy Teamshares continuing as the surviving corporation (the “</w:t>
      </w:r>
      <w:r>
        <w:rPr>
          <w:rFonts w:ascii="Times New Roman" w:hAnsi="Times New Roman"/>
          <w:b/>
          <w:sz w:val="20"/>
          <w:bdr w:val="single" w:sz="8" w:space="1" w:color="000000"/>
        </w:rPr>
        <w:t>Surviving Corporation</w:t>
      </w:r>
      <w:r>
        <w:rPr>
          <w:rFonts w:ascii="Times New Roman" w:hAnsi="Times New Roman"/>
          <w:sz w:val="20"/>
          <w:bdr w:val="single" w:sz="8" w:space="1" w:color="000000"/>
        </w:rPr>
        <w:t>”) (the date and time of such merger, the “</w:t>
      </w:r>
      <w:r>
        <w:rPr>
          <w:rFonts w:ascii="Times New Roman" w:hAnsi="Times New Roman"/>
          <w:b/>
          <w:sz w:val="20"/>
          <w:bdr w:val="single" w:sz="8" w:space="1" w:color="000000"/>
        </w:rPr>
        <w:t>First Effective Time</w:t>
      </w:r>
      <w:r>
        <w:rPr>
          <w:rFonts w:ascii="Times New Roman" w:hAnsi="Times New Roman"/>
          <w:sz w:val="20"/>
          <w:bdr w:val="single" w:sz="8" w:space="1" w:color="000000"/>
        </w:rPr>
        <w:t>”) as a wholly-owned subsidiary of Live Oak (the “</w:t>
      </w:r>
      <w:r>
        <w:rPr>
          <w:rFonts w:ascii="Times New Roman" w:hAnsi="Times New Roman"/>
          <w:b/>
          <w:sz w:val="20"/>
          <w:bdr w:val="single" w:sz="8" w:space="1" w:color="000000"/>
        </w:rPr>
        <w:t>First Merger</w:t>
      </w:r>
      <w:r>
        <w:rPr>
          <w:rFonts w:ascii="Times New Roman" w:hAnsi="Times New Roman"/>
          <w:sz w:val="20"/>
          <w:bdr w:val="single" w:sz="8" w:space="1" w:color="000000"/>
        </w:rPr>
        <w:t>”), and (iii) immediately thereafter, the Surviving Corporation merging with and into Merger Sub II, with Merger Sub II (renamed as “Teamshares LLC”) continuing as the surviving entity (the “</w:t>
      </w:r>
      <w:r>
        <w:rPr>
          <w:rFonts w:ascii="Times New Roman" w:hAnsi="Times New Roman"/>
          <w:b/>
          <w:sz w:val="20"/>
          <w:bdr w:val="single" w:sz="8" w:space="1" w:color="000000"/>
        </w:rPr>
        <w:t>Surviving Entity</w:t>
      </w:r>
      <w:r>
        <w:rPr>
          <w:rFonts w:ascii="Times New Roman" w:hAnsi="Times New Roman"/>
          <w:sz w:val="20"/>
          <w:bdr w:val="single" w:sz="8" w:space="1" w:color="000000"/>
        </w:rPr>
        <w:t>”) and as a wholly-owned subsidiary of Live Oak (the “</w:t>
      </w:r>
      <w:r>
        <w:rPr>
          <w:rFonts w:ascii="Times New Roman" w:hAnsi="Times New Roman"/>
          <w:b/>
          <w:sz w:val="20"/>
          <w:bdr w:val="single" w:sz="8" w:space="1" w:color="000000"/>
        </w:rPr>
        <w:t>Second Merger</w:t>
      </w:r>
      <w:r>
        <w:rPr>
          <w:rFonts w:ascii="Times New Roman" w:hAnsi="Times New Roman"/>
          <w:sz w:val="20"/>
          <w:bdr w:val="single" w:sz="8" w:space="1" w:color="000000"/>
        </w:rPr>
        <w:t>” and together with the First Merger, the “</w:t>
      </w:r>
      <w:r>
        <w:rPr>
          <w:rFonts w:ascii="Times New Roman" w:hAnsi="Times New Roman"/>
          <w:b/>
          <w:sz w:val="20"/>
          <w:bdr w:val="single" w:sz="8" w:space="1" w:color="000000"/>
        </w:rPr>
        <w:t>Mergers</w:t>
      </w:r>
      <w:r>
        <w:rPr>
          <w:rFonts w:ascii="Times New Roman" w:hAnsi="Times New Roman"/>
          <w:sz w:val="20"/>
          <w:bdr w:val="single" w:sz="8" w:space="1" w:color="000000"/>
        </w:rPr>
        <w:t>”, and together with the Domestication and the other transactions contemplated by the Merger Agreement and the related agreements, the “</w:t>
      </w:r>
      <w:r>
        <w:rPr>
          <w:rFonts w:ascii="Times New Roman" w:hAnsi="Times New Roman"/>
          <w:b/>
          <w:sz w:val="20"/>
          <w:bdr w:val="single" w:sz="8" w:space="1" w:color="000000"/>
        </w:rPr>
        <w:t>Business Combination</w:t>
      </w:r>
      <w:r>
        <w:rPr>
          <w:rFonts w:ascii="Times New Roman" w:hAnsi="Times New Roman"/>
          <w:sz w:val="20"/>
          <w:bdr w:val="single" w:sz="8" w:space="1" w:color="000000"/>
        </w:rPr>
        <w:t xml:space="preserve">”). The two-step merger structure is intended to qualify as a tax-deferred reorganization under Section 368(a) of the Code.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On June 16, 2026, Live Oak held an extraordinary general meeting of shareholders of Live Oak (the “</w:t>
      </w:r>
      <w:r>
        <w:rPr>
          <w:rFonts w:ascii="Times New Roman" w:hAnsi="Times New Roman"/>
          <w:b/>
          <w:sz w:val="20"/>
          <w:bdr w:val="single" w:sz="8" w:space="1" w:color="000000"/>
        </w:rPr>
        <w:t>Extraordinary General Meeting</w:t>
      </w:r>
      <w:r>
        <w:rPr>
          <w:rFonts w:ascii="Times New Roman" w:hAnsi="Times New Roman"/>
          <w:sz w:val="20"/>
          <w:bdr w:val="single" w:sz="8" w:space="1" w:color="000000"/>
        </w:rPr>
        <w:t>”) where the shareholders of Live Oak considered and approved, among other matters, a proposal described in the definitive proxy statement and final prospectus, dated May 27, 2026 (the “</w:t>
      </w:r>
      <w:r>
        <w:rPr>
          <w:rFonts w:ascii="Times New Roman" w:hAnsi="Times New Roman"/>
          <w:b/>
          <w:sz w:val="20"/>
          <w:bdr w:val="single" w:sz="8" w:space="1" w:color="000000"/>
        </w:rPr>
        <w:t>Proxy Statement/Prospectus</w:t>
      </w:r>
      <w:r>
        <w:rPr>
          <w:rFonts w:ascii="Times New Roman" w:hAnsi="Times New Roman"/>
          <w:sz w:val="20"/>
          <w:bdr w:val="single" w:sz="8" w:space="1" w:color="000000"/>
        </w:rPr>
        <w:t xml:space="preserve">”) and filed with the SEC (File No. 333-294869) to approve the entry into the Merger Agreement and consummate the Transactions contemplated thereby.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On June 16, 2026, as contemplated by the Merger Agreement, Live Oak filed a notice of deregistration with the Cayman Islands Registrar of Companies, together with the necessary accompanying documents, and, on June 16, 2026, filed a certificate of incorporation (the “</w:t>
      </w:r>
      <w:r>
        <w:rPr>
          <w:rFonts w:ascii="Times New Roman" w:hAnsi="Times New Roman"/>
          <w:b/>
          <w:sz w:val="20"/>
          <w:bdr w:val="single" w:sz="8" w:space="1" w:color="000000"/>
        </w:rPr>
        <w:t>Certificate of Incorporation</w:t>
      </w:r>
      <w:r>
        <w:rPr>
          <w:rFonts w:ascii="Times New Roman" w:hAnsi="Times New Roman"/>
          <w:sz w:val="20"/>
          <w:bdr w:val="single" w:sz="8" w:space="1" w:color="000000"/>
        </w:rPr>
        <w:t>”) and a certificate of corporate domestication with the Secretary of State of the State of Delaware, pursuant to which Live Oak was domesticated and continues as a Delaware corporation, and effective upon the Closing, changing its name to “Teamshares Inc.” (the “</w:t>
      </w:r>
      <w:r>
        <w:rPr>
          <w:rFonts w:ascii="Times New Roman" w:hAnsi="Times New Roman"/>
          <w:b/>
          <w:sz w:val="20"/>
          <w:bdr w:val="single" w:sz="8" w:space="1" w:color="000000"/>
        </w:rPr>
        <w:t>Domestication</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Domestication, the then-issued and outstanding Live Oak Class B Ordinary Shares were converted, on a one-for-one basis, into shares of Live Oak Class B Common Stock. Further, in connection with the Closing, the then-issued and outstanding shares of Live Oak Class B Common Stock converted automatically, on a one-for-one basis, into shares of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result of the Mergers, and upon the Closing, pursuant to the terms of the Merger Agreement, among other things: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(1) All of the issued and outstanding capital stock of Legacy Teamshares as of immediately prior to the First Effective Time were automatically cancelled and ceased to exist, in exchange for the rights of (A) each Teamshares Stockholder to receive its pro rata share of the Stockholder Merger Consideration (after giving effect to certain elections by certain Legacy Teamshares preferred holders (“</w:t>
      </w:r>
      <w:r>
        <w:rPr>
          <w:rFonts w:ascii="Times New Roman" w:hAnsi="Times New Roman"/>
          <w:b/>
          <w:sz w:val="20"/>
          <w:bdr w:val="single" w:sz="8" w:space="1" w:color="000000"/>
        </w:rPr>
        <w:t>Liquidation Preference Elections</w:t>
      </w:r>
      <w:r>
        <w:rPr>
          <w:rFonts w:ascii="Times New Roman" w:hAnsi="Times New Roman"/>
          <w:sz w:val="20"/>
          <w:bdr w:val="single" w:sz="8" w:space="1" w:color="000000"/>
        </w:rPr>
        <w:t>”) and, thereafter, giving effect to the conversion of all remaining shares of Legacy Teamshares preferred stock into shares of Legacy Teamshares common stock in accordance with the terms of the Merger Agreement (“</w:t>
      </w:r>
      <w:r>
        <w:rPr>
          <w:rFonts w:ascii="Times New Roman" w:hAnsi="Times New Roman"/>
          <w:b/>
          <w:sz w:val="20"/>
          <w:bdr w:val="single" w:sz="8" w:space="1" w:color="000000"/>
        </w:rPr>
        <w:t>Company Preferred Stock Exchange</w:t>
      </w:r>
      <w:r>
        <w:rPr>
          <w:rFonts w:ascii="Times New Roman" w:hAnsi="Times New Roman"/>
          <w:sz w:val="20"/>
          <w:bdr w:val="single" w:sz="8" w:space="1" w:color="000000"/>
        </w:rPr>
        <w:t>”) or otherwise treating shares of Company Preferred Stock on an as converted to Company Common Stock basis), but excluding treasury stock owned by Legacy Teamshares or a direct or indirect subsidiary thereof (“</w:t>
      </w:r>
      <w:r>
        <w:rPr>
          <w:rFonts w:ascii="Times New Roman" w:hAnsi="Times New Roman"/>
          <w:b/>
          <w:sz w:val="20"/>
          <w:bdr w:val="single" w:sz="8" w:space="1" w:color="000000"/>
        </w:rPr>
        <w:t>Treasury Shares</w:t>
      </w:r>
      <w:r>
        <w:rPr>
          <w:rFonts w:ascii="Times New Roman" w:hAnsi="Times New Roman"/>
          <w:sz w:val="20"/>
          <w:bdr w:val="single" w:sz="8" w:space="1" w:color="000000"/>
        </w:rPr>
        <w:t xml:space="preserve">”) and (B) each Earnout Participant (as defined below) to receive certain Earnout Shares (as defined below), if any such shares are issued in accordance with the terms and conditions of the Merger Agreement; and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 All outstanding options to purchase equity securities of Legacy Teamshares with exercise prices less than the Per Share Price determined as of the Closing, as further described below, that remained outstanding as of the First Effective Time, whether vested or unvested, were assumed by the Company and replaced with Assumed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Options, subject to equitable adjustments to the exercise prices and number of shares for which such Assumed Options are exercisable, all upon the terms and subject to the conditions set forth in the Merger Agreement and in accordance with applicable law; and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(3) All Legacy Teamshares warrants, convertible debt, “out-of-the-money” options and other convertible securities outstanding and not exercised or converted prior to the First Effective Time were terminated and did not receive any consideration in connection with the Mergers.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(4) Under the Merger Agreement, a Legacy Teamshares option was considered “in-the-money” if its per-share exercise price was less than the “Per Share Price” determined in accordance with the terms of the Merger Agreement. The Per Share Price was calculated as follows: Merger Consideration ÷ Fully-Diluted Company Shares as of the Closing.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Merger Agreement, the aggregate merger consideration (the “Aggregate Merger Consideration”) paid to the holders of securities of Legacy Teamshares was $525.0 million, paid in newly issued shares of Common Stock (and Assumed Vested Options), valued at $10.00 per share. The total Merger Consideration Shares equaled 52,500,000; the Stockholder Merger Consideration was approximately 49,435,918 shares of Common Stock and the Assumed Vested Options were exercisable on a net basis for approximately 3,064,082 shares of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Certain former Legacy Teamshares securityholders (the “</w:t>
      </w:r>
      <w:r>
        <w:rPr>
          <w:rFonts w:ascii="Times New Roman" w:hAnsi="Times New Roman"/>
          <w:b/>
          <w:sz w:val="20"/>
          <w:bdr w:val="single" w:sz="8" w:space="1" w:color="000000"/>
        </w:rPr>
        <w:t>Earnout Participants</w:t>
      </w:r>
      <w:r>
        <w:rPr>
          <w:rFonts w:ascii="Times New Roman" w:hAnsi="Times New Roman"/>
          <w:sz w:val="20"/>
          <w:bdr w:val="single" w:sz="8" w:space="1" w:color="000000"/>
        </w:rPr>
        <w:t>”) have the contingent right to receive up to 6,000,000 additional shares of Common Stock (“</w:t>
      </w:r>
      <w:r>
        <w:rPr>
          <w:rFonts w:ascii="Times New Roman" w:hAnsi="Times New Roman"/>
          <w:b/>
          <w:sz w:val="20"/>
          <w:bdr w:val="single" w:sz="8" w:space="1" w:color="000000"/>
        </w:rPr>
        <w:t>Earnout Shares</w:t>
      </w:r>
      <w:r>
        <w:rPr>
          <w:rFonts w:ascii="Times New Roman" w:hAnsi="Times New Roman"/>
          <w:sz w:val="20"/>
          <w:bdr w:val="single" w:sz="8" w:space="1" w:color="000000"/>
        </w:rPr>
        <w:t xml:space="preserve">”) during a five-year earnout period (the “Earnout Period”), in three equal tranches vesting upon the VWAP of Common Stock equaling or exceeding $12.00, $15.00 and $20.00, respectively, for 20 of any 30 consecutive trading days (or upon a qualifying change of control at an implied price at or above $12.00).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1,150,000 Deferred Founder Shares and up to 1,150,000 Incentive Founder Shares held by the Sponsor are subject to vesting and forfeiture based on certain Founder Share Triggering Events over a five-year Founder Share Measurement Period. As of the date of this prospectus 63,300 Incentive Founder Shares are expected to be transferred to the SAFE Investors as “bonus” shares deliverable under the terms of the Teamshares SAFEs and 37,171 Incentive Founder Shares are expected to be transferred in connection with investors that entered into non-redemption agreements. To the extent that the Sponsor has not transferred or forfeited all of the Incentive Founder Shares at or prior to the Closing, then Sponsor shall forfeit fifty percent (50%) of the remaining Incentive Founder Shares at the Closing and the other remaining fifty percent (50%) of such Incentive Founder Shares shall become subject to vesting (or forfeiture) on the basis of achieving certain share price targets during the Founder Share Measurement Period. As a result, there are expected to be 524,765 Incentive Founder Shares that remain outstanding following the closing of the Business Combination.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Pursuant to the subscription agreements (the “</w:t>
      </w:r>
      <w:r>
        <w:rPr>
          <w:rFonts w:ascii="Times New Roman" w:hAnsi="Times New Roman"/>
          <w:b/>
          <w:sz w:val="20"/>
          <w:bdr w:val="single" w:sz="8" w:space="1" w:color="000000"/>
        </w:rPr>
        <w:t>Subscription Agreements</w:t>
      </w:r>
      <w:r>
        <w:rPr>
          <w:rFonts w:ascii="Times New Roman" w:hAnsi="Times New Roman"/>
          <w:sz w:val="20"/>
          <w:bdr w:val="single" w:sz="8" w:space="1" w:color="000000"/>
        </w:rPr>
        <w:t>”) entered into on November 14, 2025, by and among Live Oak and certain investors (collectively, the “</w:t>
      </w:r>
      <w:r>
        <w:rPr>
          <w:rFonts w:ascii="Times New Roman" w:hAnsi="Times New Roman"/>
          <w:b/>
          <w:sz w:val="20"/>
          <w:bdr w:val="single" w:sz="8" w:space="1" w:color="000000"/>
        </w:rPr>
        <w:t>Initial PIPE Investors</w:t>
      </w:r>
      <w:r>
        <w:rPr>
          <w:rFonts w:ascii="Times New Roman" w:hAnsi="Times New Roman"/>
          <w:sz w:val="20"/>
          <w:bdr w:val="single" w:sz="8" w:space="1" w:color="000000"/>
        </w:rPr>
        <w:t>”), the Company issued and sold to the Initial PIPE Investors (substantially concurrently with the consummation of the Business Combination) an aggregate of 13,750,000 shares (the “</w:t>
      </w:r>
      <w:r>
        <w:rPr>
          <w:rFonts w:ascii="Times New Roman" w:hAnsi="Times New Roman"/>
          <w:b/>
          <w:sz w:val="20"/>
          <w:bdr w:val="single" w:sz="8" w:space="1" w:color="000000"/>
        </w:rPr>
        <w:t>PIPE Shares</w:t>
      </w:r>
      <w:r>
        <w:rPr>
          <w:rFonts w:ascii="Times New Roman" w:hAnsi="Times New Roman"/>
          <w:sz w:val="20"/>
          <w:bdr w:val="single" w:sz="8" w:space="1" w:color="000000"/>
        </w:rPr>
        <w:t>”) of Common Stock for aggregate gross proceeds of approximately $126.5 million (the “</w:t>
      </w:r>
      <w:r>
        <w:rPr>
          <w:rFonts w:ascii="Times New Roman" w:hAnsi="Times New Roman"/>
          <w:b/>
          <w:sz w:val="20"/>
          <w:bdr w:val="single" w:sz="8" w:space="1" w:color="000000"/>
        </w:rPr>
        <w:t>PIPE Investment</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addition, during the period between December 2025 and May 2026, Legacy Teamshares and SAFE Investors entered into simple agreements for future equity (“</w:t>
      </w:r>
      <w:r>
        <w:rPr>
          <w:rFonts w:ascii="Times New Roman" w:hAnsi="Times New Roman"/>
          <w:b/>
          <w:sz w:val="20"/>
          <w:bdr w:val="single" w:sz="8" w:space="1" w:color="000000"/>
        </w:rPr>
        <w:t>SAFEs</w:t>
      </w:r>
      <w:r>
        <w:rPr>
          <w:rFonts w:ascii="Times New Roman" w:hAnsi="Times New Roman"/>
          <w:sz w:val="20"/>
          <w:bdr w:val="single" w:sz="8" w:space="1" w:color="000000"/>
        </w:rPr>
        <w:t xml:space="preserve">”) for aggregate purchase amounts of approximately $6.3 million, of which $3.0 million was received by Legacy Teamshares in December 2025, $1.1 million was received by Legacy Teamshares in January 2026, $1.3 million was received by Legacy Teamshares in April 2026 and $1.0 million was received by Legacy Teamshares in May 2026. Certain holders of SAFEs issued by Legacy Teamshares automatically converted their SAFEs into shares of Common Stock at the Closing (representing approximately 1% of the outstanding shares of Common Stock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On June 1, 2026, in connection with the Business Combination, Live Oak entered into an agreement (the “</w:t>
      </w:r>
      <w:r>
        <w:rPr>
          <w:rFonts w:ascii="Times New Roman" w:hAnsi="Times New Roman"/>
          <w:b/>
          <w:sz w:val="20"/>
          <w:bdr w:val="single" w:sz="8" w:space="1" w:color="000000"/>
        </w:rPr>
        <w:t>Forward Purchase Agreement</w:t>
      </w:r>
      <w:r>
        <w:rPr>
          <w:rFonts w:ascii="Times New Roman" w:hAnsi="Times New Roman"/>
          <w:sz w:val="20"/>
          <w:bdr w:val="single" w:sz="8" w:space="1" w:color="000000"/>
        </w:rPr>
        <w:t>”) with a fund sub-advised by JBA Asset Management LLC (“</w:t>
      </w:r>
      <w:r>
        <w:rPr>
          <w:rFonts w:ascii="Times New Roman" w:hAnsi="Times New Roman"/>
          <w:b/>
          <w:sz w:val="20"/>
          <w:bdr w:val="single" w:sz="8" w:space="1" w:color="000000"/>
        </w:rPr>
        <w:t>Seller</w:t>
      </w:r>
      <w:r>
        <w:rPr>
          <w:rFonts w:ascii="Times New Roman" w:hAnsi="Times New Roman"/>
          <w:sz w:val="20"/>
          <w:bdr w:val="single" w:sz="8" w:space="1" w:color="000000"/>
        </w:rPr>
        <w:t xml:space="preserve">”) for an OTC Equity Prepaid Forward Transaction to purchase shares of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connection with the Closing of the Business Combination, Live Oak entered into Non-Redemption Agreements (the “</w:t>
      </w:r>
      <w:r>
        <w:rPr>
          <w:rFonts w:ascii="Times New Roman" w:hAnsi="Times New Roman"/>
          <w:b/>
          <w:sz w:val="20"/>
          <w:bdr w:val="single" w:sz="8" w:space="1" w:color="000000"/>
        </w:rPr>
        <w:t>Non-Redemption</w:t>
      </w:r>
      <w:r>
        <w:rPr>
          <w:rFonts w:ascii="Times New Roman" w:hAnsi="Times New Roman"/>
          <w:sz w:val="20"/>
          <w:bdr w:val="single" w:sz="8" w:space="1" w:color="000000"/>
        </w:rPr>
        <w:t> </w:t>
      </w:r>
      <w:r>
        <w:rPr>
          <w:rFonts w:ascii="Times New Roman" w:hAnsi="Times New Roman"/>
          <w:b/>
          <w:sz w:val="20"/>
          <w:bdr w:val="single" w:sz="8" w:space="1" w:color="000000"/>
        </w:rPr>
        <w:t>Agreements</w:t>
      </w:r>
      <w:r>
        <w:rPr>
          <w:rFonts w:ascii="Times New Roman" w:hAnsi="Times New Roman"/>
          <w:sz w:val="20"/>
          <w:bdr w:val="single" w:sz="8" w:space="1" w:color="000000"/>
        </w:rPr>
        <w:t>”), dated as of June 5, 2026, with unaffiliated third-party shareholders of Live Oak (each, a “</w:t>
      </w:r>
      <w:r>
        <w:rPr>
          <w:rFonts w:ascii="Times New Roman" w:hAnsi="Times New Roman"/>
          <w:b/>
          <w:sz w:val="20"/>
          <w:bdr w:val="single" w:sz="8" w:space="1" w:color="000000"/>
        </w:rPr>
        <w:t>NRA Investor</w:t>
      </w:r>
      <w:r>
        <w:rPr>
          <w:rFonts w:ascii="Times New Roman" w:hAnsi="Times New Roman"/>
          <w:sz w:val="20"/>
          <w:bdr w:val="single" w:sz="8" w:space="1" w:color="000000"/>
        </w:rPr>
        <w:t>” and collectively, the “</w:t>
      </w:r>
      <w:r>
        <w:rPr>
          <w:rFonts w:ascii="Times New Roman" w:hAnsi="Times New Roman"/>
          <w:b/>
          <w:sz w:val="20"/>
          <w:bdr w:val="single" w:sz="8" w:space="1" w:color="000000"/>
        </w:rPr>
        <w:t>NRA Investors</w:t>
      </w:r>
      <w:r>
        <w:rPr>
          <w:rFonts w:ascii="Times New Roman" w:hAnsi="Times New Roman"/>
          <w:sz w:val="20"/>
          <w:bdr w:val="single" w:sz="8" w:space="1" w:color="000000"/>
        </w:rPr>
        <w:t xml:space="preserve">”) and Sponsor in accordance with the terms of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Pursuant to the Non-Redemption Agreements, the NRA Investors agreed not to redeem an aggregate of 276,646 Class A ordinary shares of Live Oak (the “</w:t>
      </w:r>
      <w:r>
        <w:rPr>
          <w:rFonts w:ascii="Times New Roman" w:hAnsi="Times New Roman"/>
          <w:b/>
          <w:sz w:val="20"/>
          <w:bdr w:val="single" w:sz="8" w:space="1" w:color="000000"/>
        </w:rPr>
        <w:t>Non-Redeemed</w:t>
      </w:r>
      <w:r>
        <w:rPr>
          <w:rFonts w:ascii="Times New Roman" w:hAnsi="Times New Roman"/>
          <w:sz w:val="20"/>
          <w:bdr w:val="single" w:sz="8" w:space="1" w:color="000000"/>
        </w:rPr>
        <w:t> </w:t>
      </w:r>
      <w:r>
        <w:rPr>
          <w:rFonts w:ascii="Times New Roman" w:hAnsi="Times New Roman"/>
          <w:b/>
          <w:sz w:val="20"/>
          <w:bdr w:val="single" w:sz="8" w:space="1" w:color="000000"/>
        </w:rPr>
        <w:t>Shares</w:t>
      </w:r>
      <w:r>
        <w:rPr>
          <w:rFonts w:ascii="Times New Roman" w:hAnsi="Times New Roman"/>
          <w:sz w:val="20"/>
          <w:bdr w:val="single" w:sz="8" w:space="1" w:color="000000"/>
        </w:rPr>
        <w:t xml:space="preserve">”) at the Extraordinary General Meeting. In exchange for the foregoing commitment to Live Oak to not redeem the Non-Redeemed Shares, the Sponsor agreed to transfer to the NRA Investors, contemporaneously with the Closing, an aggregate of 37,171 shares of Class B Common Stock held by the Sponsor, provided that such NRA Investors do not exercise their respective redemption rights with respect to the Non-Redeemed Shares in connection with the Extraordinary General Meeting.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accounting purposes, the Business Combination is treated as a reverse recapitalization, with Live Oak treated as the “acquired” company and Legacy Teamshares as the accounting acquirer. The net assets of Live Oak are stated at historical cost, with no goodwill or other intangible assets recorded. The operations presented in the financial statements of the Company following the Closing are those of Legacy Teamshares.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Our business is subject to numerous risks and uncertainties, including those highlighted in the section entitled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immediately following this prospectus summary, that represent challenges that we face in connection with the successful implementation of our strategy and the growth of our business. In particular, the following considerations, among others, may offset our competitive strengths or have a negative effect on our business strategy, which could cause a decline in the price of shares of our common stock or warrants and result in a loss of all or a portion of your investment: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cannot meet our future capital requirements, we may be unable to develop and enhance our services, take advantage of business opportunities and respond to competitive pressures.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offerings of debt or offerings or issuances of equity securities by Teamshares may adversely affect the market price of Common Stock or otherwise dilute all other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Teamshares may not be successful in finding future opportunities to complete acquisitions.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manage our anticipated growth effectively, our business, financial condition and operating results could be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could expose us to risks that could adversely affect our business, results of operations and financial condition.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history of net operating losses and may not achieve profitability in the future. We may need additional capital to fund our operations. If we fail to obtain additional capital, we may be unable to sustain operations and growth of the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inability to consummate acquisitions at our historical rate and at appropriate prices, and to make appropriate investments that support our long-term strategy, could negatively impact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Teamshares debt obligations require repayment at the Closing and will come due at various dates in 2026. If we are unable to amend, refinance, or extend such maturities or otherwise experience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of default under our debt facilities that are not waived or remediated, Teamshares will require additional financing to carry out its business plans, including anticipated Additional Operating Company acquisitions, which may delay or impair, potentially significantly, our growth plans, require us to seek additional capital sources on terms less favorable than our current debt arrangements and cause our operating results to differ, perhaps materially, from management expectations.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Engaging in acquisitions involves risks, and, if we are unable to effectively manage these risks, our business could be materially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Teamshares’ success will depend on its ability to attract and retain personnel and manage human capital both for itself and the Teamshares Operating Subsidiaries, while controlling labor costs.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Common Stock is likely to be highly volatile, and you may lose some or all of your investment.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Teamshares does not currently intend to pay dividends on its common stock, and, consequently, your ability to achieve a return on your investment will depend on appreciation, if any, in the price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shares of Common Stock may depress its stock price.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Organizational 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diagram below depicts our organizational structure as of immediately following consummation of the Business Combination: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513705" cy="31769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513705" cy="3176905"/>
                    </a:xfrm>
                    <a:prstGeom prst="rect">
                      <a:avLst/>
                    </a:prstGeom>
                  </pic:spPr>
                </pic:pic>
              </a:graphicData>
            </a:graphic>
          </wp:inline>
        </w:drawing>
      </w:r>
      <w:r>
        <w:rPr>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Live Oak was a blank check company incorporated on November 27, 2024 as a Cayman Islands exempted company for the purpose of effecting a merger, share exchange, asset acquisition, share purchase, reorganization, or similar business combination with one or more businesses. On June 16, 2026, Live Oak domesticated into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Delaware corporation and changed its name to “Teamshares Inc.” in connection with the Domestication. Teamshares Inc. is a holding company whose principal assets are the equity interests it holds in Teamshares, LLC.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214 Sullivan Street, 3B, New York, New York 10012. Our telephone number is (917) 310-2731. Our website address is www.teamshares.com. Information contained on our website is not a part of this prospectus, and the inclusion of our website address in this prospectus is an inactive textual reference only.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prospectus contains references to trademarks and service marks belonging to other entities. Solely for convenience, trademarks and trade names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We qualify as an “emerging growth company” as defined in the Jumpstart Our Business Startups Act of 2012, as amended (the “</w:t>
      </w:r>
      <w:r>
        <w:rPr>
          <w:rFonts w:ascii="Times New Roman" w:hAnsi="Times New Roman"/>
          <w:b/>
          <w:sz w:val="20"/>
          <w:bdr w:val="single" w:sz="8" w:space="1" w:color="000000"/>
        </w:rPr>
        <w:t>JOBS Act</w:t>
      </w:r>
      <w:r>
        <w:rPr>
          <w:rFonts w:ascii="Times New Roman" w:hAnsi="Times New Roman"/>
          <w:sz w:val="20"/>
          <w:bdr w:val="single" w:sz="8" w:space="1" w:color="000000"/>
        </w:rPr>
        <w:t xml:space="preserve">”). For so long as we remain an emerging growth company, we are permitted, and currently intend, to continue to rely on the following provisions of the JOBS Act that contain exceptions from disclosure and other requirements that otherwise are applicable to public companies and file periodic reports with the SEC. These provisions include, but are not limited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presentation of only two years of audited financial statements and related financial disclosure in our periodic reports and registration statements, including this prospectus, subject to certain exceptions;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exemption from the requirement for our registered independent public accounting firm to provide an attestation report on internal control over financial reporting under Section 404(b) of the Sarbanes-Oxley Act of 2002, as amended (“</w:t>
            </w:r>
            <w:r>
              <w:rPr>
                <w:rFonts w:ascii="Times New Roman" w:hAnsi="Times New Roman"/>
                <w:b/>
                <w:sz w:val="20"/>
              </w:rPr>
              <w:t>SOX</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executive compensation disclosures in our periodic reports, proxy statements, and registration statements, including in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not being required to comply with any requirement that may be adopted by the Public Company Accounting Oversight Board (the “</w:t>
            </w:r>
            <w:r>
              <w:rPr>
                <w:rFonts w:ascii="Times New Roman" w:hAnsi="Times New Roman"/>
                <w:b/>
                <w:sz w:val="20"/>
              </w:rPr>
              <w:t>PCAOB</w:t>
            </w:r>
            <w:r>
              <w:rPr>
                <w:rFonts w:ascii="Times New Roman" w:hAnsi="Times New Roman"/>
                <w:sz w:val="20"/>
              </w:rPr>
              <w:t xml:space="preserve">”) regarding mandatory audit firm rotation or a supplement to the auditor’s report providing additional information about the audit and the financial statements;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 to hold non-binding advisory votes on executive compensation, on the frequency of such votes, and on golden parachute arrangements.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remain an emerging growth company until the earliest to occur of: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December 31, 2029 (the last day of the fiscal year that follows the fifth anniversary of the completion of Live Oak’s initial public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fiscal year in which we have total annual gross revenue of at least $1.235 billion;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fiscal year in which we are deemed to be a “large accelerated filer,” as defined in the Exchange Act;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we have issued more than $1.0 billion in non-convertible debt over a three-year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take advantage of certain of the reduced disclosure obligations in this prospectus and may elect to take advantage of other reduced reporting requirements in our future filings with the SEC. As a result, the information that we provide to our stockholders may be different than what you might receive from other public reporting companies in which you hold equity interests.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8" w:name="toc58823_6"/>
      <w:bookmarkEnd w:id="8"/>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Teamshares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Securities Being Registered</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are registering a primary offering of 16,000,000 shares and the resale by the Selling Securityholders of an aggregate of     shares of Common Stock and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Terms of the Offering</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The Selling Securityholders will determine when and how they will dispose of any shares of Common Stock and Warrants registered under this prospectus for resale.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Teamshares Inc. Securities</w:t>
            </w:r>
            <w:r>
              <w:rPr>
                <w:rFonts w:ascii="Times New Roman" w:hAnsi="Times New Roman"/>
                <w:sz w:val="20"/>
              </w:rPr>
              <w:t xml:space="preserve"> </w:t>
            </w:r>
            <w:r>
              <w:rPr>
                <w:rFonts w:ascii="Times New Roman" w:hAnsi="Times New Roman"/>
                <w:b/>
                <w:sz w:val="20"/>
              </w:rPr>
              <w:t>Outstanding Before</w:t>
              <w:br/>
              <w:t>this</w:t>
            </w:r>
            <w:r>
              <w:rPr>
                <w:rFonts w:ascii="Times New Roman" w:hAnsi="Times New Roman"/>
                <w:sz w:val="20"/>
              </w:rPr>
              <w:t xml:space="preserve"> </w:t>
            </w:r>
            <w:r>
              <w:rPr>
                <w:rFonts w:ascii="Times New Roman" w:hAnsi="Times New Roman"/>
                <w:b/>
                <w:sz w:val="20"/>
              </w:rPr>
              <w:t>Offering</w:t>
            </w:r>
            <w:r>
              <w:rPr>
                <w:rFonts w:ascii="Times New Roman" w:hAnsi="Times New Roman"/>
                <w:sz w:val="20"/>
              </w:rPr>
              <w:t xml:space="preserve"> </w:t>
            </w:r>
          </w:p>
        </w:tc>
        <w:tc>
          <w:tcPr>
            <w:tcW w:w="6328" w:type="dxa"/>
            <w:tcBorders/>
          </w:tcPr>
          <w:p>
            <w:pPr>
              <w:pStyle w:val="TableContents"/>
              <w:bidi w:val="0"/>
              <w:spacing w:before="0" w:after="283"/>
              <w:jc w:val="left"/>
              <w:rPr/>
            </w:pPr>
            <w:r>
              <w:rPr/>
              <w:br/>
              <w:t xml:space="preserve">    shares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102"/>
        <w:gridCol w:w="101"/>
        <w:gridCol w:w="6125"/>
      </w:tblGrid>
      <w:tr>
        <w:trPr/>
        <w:tc>
          <w:tcPr>
            <w:tcW w:w="3877"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exercisable for up to     shares of Common Stock at an initial exercise price of $11.50 per share, subject to adjustment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Teamshares Inc. Securities</w:t>
            </w:r>
            <w:r>
              <w:rPr>
                <w:rFonts w:ascii="Times New Roman" w:hAnsi="Times New Roman"/>
                <w:sz w:val="20"/>
              </w:rPr>
              <w:t xml:space="preserve"> </w:t>
            </w:r>
            <w:r>
              <w:rPr>
                <w:rFonts w:ascii="Times New Roman" w:hAnsi="Times New Roman"/>
                <w:b/>
                <w:sz w:val="20"/>
              </w:rPr>
              <w:t>Outstanding After</w:t>
              <w:br/>
              <w:t>this Offering</w:t>
            </w:r>
            <w:r>
              <w:rPr>
                <w:rFonts w:ascii="Times New Roman" w:hAnsi="Times New Roman"/>
                <w:sz w:val="20"/>
              </w:rPr>
              <w:t xml:space="preserve"> </w:t>
            </w:r>
          </w:p>
        </w:tc>
        <w:tc>
          <w:tcPr>
            <w:tcW w:w="6328" w:type="dxa"/>
            <w:tcBorders/>
          </w:tcPr>
          <w:p>
            <w:pPr>
              <w:pStyle w:val="TableContents"/>
              <w:bidi w:val="0"/>
              <w:spacing w:before="0" w:after="283"/>
              <w:jc w:val="left"/>
              <w:rPr/>
            </w:pPr>
            <w:r>
              <w:rPr/>
              <w:br/>
              <w:t xml:space="preserve">    shares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102"/>
        <w:gridCol w:w="101"/>
        <w:gridCol w:w="6125"/>
      </w:tblGrid>
      <w:tr>
        <w:trPr/>
        <w:tc>
          <w:tcPr>
            <w:tcW w:w="3877"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exercisable for up to     shares of Common Stock at an initial exercise price of $11.50 per share, subject to adjustment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All of the shares of Common Stock and Warrants offered by the Selling Securityholders will be sold by them for their respective accounts. We will not receive any of the proceeds from these sales.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Selling Securityholders will pay any underwriting fees, discounts, selling commissions, stock transfer taxes, and certain legal expenses incurred by such Selling Securityholders in disposing of their Common Stock and Warrants,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We will receive any proceeds from the exercise of the Warrants for cash, but not from the resale of the shares of Common Stock issuable upon such exercise or exchange. We intend to use the proceeds received from the exercise of the warrants, if any, for general corporate purposes, which may include capital expenditures, potential acquisitions, growth opportunities and strategic transactions. However, we have not designated any specific uses and have no current agreement with respect to any acquisition or strategic transaction. See “</w:t>
            </w:r>
            <w:r>
              <w:rPr>
                <w:i/>
              </w:rPr>
              <w:t>Use of Proceeds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8" w:type="dxa"/>
            <w:tcBorders/>
          </w:tcPr>
          <w:p>
            <w:pPr>
              <w:pStyle w:val="TableContents"/>
              <w:bidi w:val="0"/>
              <w:spacing w:before="0" w:after="283"/>
              <w:jc w:val="left"/>
              <w:rPr/>
            </w:pPr>
            <w:r>
              <w:rPr/>
              <w:t>See “</w:t>
            </w:r>
            <w:r>
              <w:rPr>
                <w:i/>
              </w:rPr>
              <w:t>Risk Factors</w:t>
            </w:r>
            <w:r>
              <w:rPr/>
              <w:t xml:space="preserve">” beginning on page 10 and other information included in this prospectus for a discussion of factors you should carefully consider before deciding to invest in the securities being offered by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Material U.S. Federal Income Tax</w:t>
            </w:r>
            <w:r>
              <w:rPr>
                <w:rFonts w:ascii="Times New Roman" w:hAnsi="Times New Roman"/>
                <w:sz w:val="20"/>
              </w:rPr>
              <w:t xml:space="preserve"> </w:t>
            </w:r>
            <w:r>
              <w:rPr>
                <w:rFonts w:ascii="Times New Roman" w:hAnsi="Times New Roman"/>
                <w:b/>
                <w:sz w:val="20"/>
              </w:rPr>
              <w:t>Consequences for Holders of</w:t>
            </w:r>
            <w:r>
              <w:rPr>
                <w:rFonts w:ascii="Times New Roman" w:hAnsi="Times New Roman"/>
                <w:sz w:val="20"/>
              </w:rPr>
              <w:t xml:space="preserve"> </w:t>
            </w:r>
            <w:r>
              <w:rPr>
                <w:rFonts w:ascii="Times New Roman" w:hAnsi="Times New Roman"/>
                <w:b/>
                <w:sz w:val="20"/>
              </w:rPr>
              <w:t>Common Stock</w:t>
            </w:r>
            <w:r>
              <w:rPr>
                <w:rFonts w:ascii="Times New Roman" w:hAnsi="Times New Roman"/>
                <w:sz w:val="20"/>
              </w:rPr>
              <w:t xml:space="preserve"> </w:t>
            </w:r>
            <w:r>
              <w:rPr>
                <w:rFonts w:ascii="Times New Roman" w:hAnsi="Times New Roman"/>
                <w:b/>
                <w:sz w:val="20"/>
              </w:rPr>
              <w:t>and Warrants</w:t>
            </w:r>
            <w:r>
              <w:rPr>
                <w:rFonts w:ascii="Times New Roman" w:hAnsi="Times New Roman"/>
                <w:sz w:val="20"/>
              </w:rPr>
              <w:t xml:space="preserve"> </w:t>
            </w:r>
          </w:p>
        </w:tc>
        <w:tc>
          <w:tcPr>
            <w:tcW w:w="6327" w:type="dxa"/>
            <w:tcBorders/>
          </w:tcPr>
          <w:p>
            <w:pPr>
              <w:pStyle w:val="TableContents"/>
              <w:bidi w:val="0"/>
              <w:spacing w:before="0" w:after="283"/>
              <w:jc w:val="left"/>
              <w:rPr/>
            </w:pPr>
            <w:r>
              <w:rPr/>
              <w:t>For a discussion of material U.S. federal income tax consequences that may be relevant to holders of Common Stock and Warrants, see “</w:t>
            </w:r>
            <w:r>
              <w:rPr>
                <w:i/>
              </w:rPr>
              <w:t>Material U.S. Federal Income Tax Consequences for Holders of Common Stock and Warrants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Trading Symbols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Our Common Stock and Warrants are listed and traded on the Nasdaq under the symbol “TMS” and “TMSWW,”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58823_7"/>
      <w:bookmarkEnd w:id="9"/>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our securities involves a high degree of risk. You should consider carefully the risks and uncertainties described below, together with all of the other information contained in this prospectus, before deciding to invest in our securities. If any of the following events occur, our business, financial condition and operating results may be materially adversely affected. In that event, the trading price of our securities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or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Teamshares’ principal revenues are expected to be earned in the future, through its subsidiaries and through its Operating Subsidiaries, and Teamshares depends on its subsidiaries for cash. </w:t>
      </w:r>
    </w:p>
    <w:p>
      <w:pPr>
        <w:pStyle w:val="TextBody"/>
        <w:bidi w:val="0"/>
        <w:spacing w:before="120" w:after="0"/>
        <w:jc w:val="left"/>
        <w:rPr>
          <w:rFonts w:ascii="Times New Roman" w:hAnsi="Times New Roman"/>
          <w:sz w:val="20"/>
        </w:rPr>
      </w:pPr>
      <w:r>
        <w:rPr>
          <w:rFonts w:ascii="Times New Roman" w:hAnsi="Times New Roman"/>
          <w:sz w:val="20"/>
        </w:rPr>
        <w:t>Teamshares’ principal operation is to programmatically acquire small-to-medium size enterprises (“</w:t>
      </w:r>
      <w:r>
        <w:rPr>
          <w:rFonts w:ascii="Times New Roman" w:hAnsi="Times New Roman"/>
          <w:b/>
          <w:sz w:val="20"/>
        </w:rPr>
        <w:t>SMEs</w:t>
      </w:r>
      <w:r>
        <w:rPr>
          <w:rFonts w:ascii="Times New Roman" w:hAnsi="Times New Roman"/>
          <w:sz w:val="20"/>
        </w:rPr>
        <w:t>”) with $0.5 to $5 million of EBITDA from retiring owners, integrate them with the Teamshares platform (the “</w:t>
      </w:r>
      <w:r>
        <w:rPr>
          <w:rFonts w:ascii="Times New Roman" w:hAnsi="Times New Roman"/>
          <w:b/>
          <w:sz w:val="20"/>
        </w:rPr>
        <w:t>Teamshares Operating Subsidiaries</w:t>
      </w:r>
      <w:r>
        <w:rPr>
          <w:rFonts w:ascii="Times New Roman" w:hAnsi="Times New Roman"/>
          <w:sz w:val="20"/>
        </w:rPr>
        <w:t>” or “</w:t>
      </w:r>
      <w:r>
        <w:rPr>
          <w:rFonts w:ascii="Times New Roman" w:hAnsi="Times New Roman"/>
          <w:b/>
          <w:sz w:val="20"/>
        </w:rPr>
        <w:t>Operating Subsidiaries</w:t>
      </w:r>
      <w:r>
        <w:rPr>
          <w:rFonts w:ascii="Times New Roman" w:hAnsi="Times New Roman"/>
          <w:sz w:val="20"/>
        </w:rPr>
        <w:t xml:space="preserve">”), and help employees earn company stock. </w:t>
      </w:r>
    </w:p>
    <w:p>
      <w:pPr>
        <w:pStyle w:val="TextBody"/>
        <w:bidi w:val="0"/>
        <w:spacing w:before="240" w:after="0"/>
        <w:jc w:val="left"/>
        <w:rPr>
          <w:rFonts w:ascii="Times New Roman" w:hAnsi="Times New Roman"/>
          <w:sz w:val="20"/>
        </w:rPr>
      </w:pPr>
      <w:r>
        <w:rPr>
          <w:rFonts w:ascii="Times New Roman" w:hAnsi="Times New Roman"/>
          <w:sz w:val="20"/>
        </w:rPr>
        <w:t xml:space="preserve">Teamshares’ ability to execute its growth strategy will be highly dependent on its ability to successfully source, underwrite and close acquisitions of new Operating Subsidiaries. The ability of the Teamshares Operating Subsidiaries or any subsidiary to generate sufficient revenue from future operations to allow Teamshares and them to make scheduled payments on their obligations will depend on their future financial performance, which will be affected by a range of economic, competitive and business factors, many of which will be outside of Teamshares’ control. Teamshares cannot assure you that the cash flow and future earnings of the Teamshares Operating Subsidiaries will be adequate to service any corporate obligations or operating needs. If the Teamshares Operating Subsidiaries do not generate sufficient cash flow from future operations to satisfy corporate obligations and operating needs, Teamshares may have to: undertake alternative financing plans (such as refinancing), restructure debt, sell assets, reduce or delay capital investments, or seek to raise additional capital. Teamshares cannot assure that any such alternative refinancing would be possible, that any assets could be sold, or, if sold, of the timing of the sales and the amount of proceeds realized from those sales, that additional financing could be obtained on acceptable terms, if at all, or that additional financing would be permitted under the terms of Teamshares’ various debt instruments then in effect. Teamshares’ inability to generate sufficient cash flow from the Teamshares Operating Subsidiaries to satisfy its obligations, or to refinance its obligations on commercially reasonable terms, would have an adverse effect on its business, financial condition and results of operations. Furthermore, Teamshares and the Teamshares Operating Subsidiaries may incur substantial additional indebtedness in the future that may severely restrict or prohibit the Teamshares Operating Subsidiaries and other subsidiaries from making distributions, paying dividends or making loans to Teamshares.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cannot meet our future capital requirements, we may be unable to develop and enhance our services, take advantage of business opportunities and respond to competitive pressures. </w:t>
      </w:r>
    </w:p>
    <w:p>
      <w:pPr>
        <w:pStyle w:val="TextBody"/>
        <w:bidi w:val="0"/>
        <w:spacing w:before="120" w:after="0"/>
        <w:jc w:val="left"/>
        <w:rPr>
          <w:rFonts w:ascii="Times New Roman" w:hAnsi="Times New Roman"/>
          <w:sz w:val="20"/>
        </w:rPr>
      </w:pPr>
      <w:r>
        <w:rPr>
          <w:rFonts w:ascii="Times New Roman" w:hAnsi="Times New Roman"/>
          <w:sz w:val="20"/>
        </w:rPr>
        <w:t xml:space="preserve">We may need to raise additional funds in the future to grow our business internally, invest in new businesses, expand through acquisitions, enhance our current services or respond to changes in our current and target markets. The failure to secure additional financing could have a material adverse effect on the continued development or growth of Teamshares and the acquisition of future Operating Subsidiaries. If we raise additional capital through the sale of equity or equity derivative securities, the issuance of these securities could result in dilution to our existing stockholders. If additional funds are raised through the issuance of debt securities, the terms of that debt could impose additional restrictions on our operations or harm our financial condition. In addition, Teamshares may seek additional capital due to favorable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conditions or strategic considerations even if it believes that it has sufficient funds for current or future operating plans. There can be no assurance that financing will be available to Teamshares on favorable terms, or at all. The inability to obtain financing when needed may make it more difficult for Teamshares and the Teamshares Operating Subsidiaries to operate their businesses or implement their growth plans.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offerings of debt or offerings or issuances of equity securities by Teamshares may adversely affect the market price of Common Stock or otherwise dilute all other stockholders. </w:t>
      </w:r>
    </w:p>
    <w:p>
      <w:pPr>
        <w:pStyle w:val="TextBody"/>
        <w:bidi w:val="0"/>
        <w:spacing w:before="120" w:after="0"/>
        <w:jc w:val="left"/>
        <w:rPr>
          <w:rFonts w:ascii="Times New Roman" w:hAnsi="Times New Roman"/>
          <w:sz w:val="20"/>
        </w:rPr>
      </w:pPr>
      <w:r>
        <w:rPr>
          <w:rFonts w:ascii="Times New Roman" w:hAnsi="Times New Roman"/>
          <w:sz w:val="20"/>
        </w:rPr>
        <w:t xml:space="preserve">In the future, Teamshares may attempt to obtain financing or to further increase Teamshares’ capital resources by issuing additional shares of Common Stock or offering debt or other equity securities, including commercial paper, medium-term notes, senior or subordinated notes, debt securities convertible into equity or shares of preferred stock. Teamshares also expects to grant equity awards to employees, directors, and consultants under the Incentive Plan. Future acquisitions could require substantial additional capital in excess of cash from operations. Teamshares would expect to obtain the capital required for acquisitions through a combination of additional issuances of equity, corporate indebtedness and/or cash from operations. Issuing additional shares of Common Stock or other equity securities or securities convertible into equity may dilute the economic and voting rights of Teamshares’ existing stockholders or reduce the market price of Common Stock or both. Upon liquidation, holders of such debt securities, preferred shares, and lenders with respect to other borrowings would receive a distribution of Teamshares’ available assets prior to the holders of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Teamshares’ ability to pay dividends to the holders of Common Stock. Teamshares’ decision to issue securities in any future offering will depend on market conditions and other factors beyond Teamshares’ control, which may adversely affect the amount, timing and nature of Teamshares’ future offerings.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Teamshares may not be successful in finding future opportunities to complete acquisitions. </w:t>
      </w:r>
    </w:p>
    <w:p>
      <w:pPr>
        <w:pStyle w:val="TextBody"/>
        <w:bidi w:val="0"/>
        <w:spacing w:before="120" w:after="0"/>
        <w:jc w:val="left"/>
        <w:rPr>
          <w:rFonts w:ascii="Times New Roman" w:hAnsi="Times New Roman"/>
          <w:sz w:val="20"/>
        </w:rPr>
      </w:pPr>
      <w:r>
        <w:rPr>
          <w:rFonts w:ascii="Times New Roman" w:hAnsi="Times New Roman"/>
          <w:sz w:val="20"/>
        </w:rPr>
        <w:t xml:space="preserve">Our business model requires a consistent pipeline of compelling acquisition opportunities and willing sellers; failure to source, negotiate and close acquisitions would impair our growth. Teamshares’ growth depends on its ability to identify attractive businesses and persuade owners to sell on acceptable terms. Competitive dynamics, valuation dislocations, reduced M&amp;A activity, adverse macroeconomic conditions, reputational factors, or a failure to articulate a compelling value proposition to sellers may impair deal flow. If we cannot acquire at the pace or on the terms contemplated in our plans, our revenues, profitability and long-term growth could be materially negatively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manage our anticipated growth effectively, our business, financial condition and operating results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To manage our growth effectively, we must continue to implement our operational plans and strategies, improve, and expand our infrastructure of people and information systems and expand, train and manage our employee base. To support continued growth, we must effectively integrate, develop and motivate new employees. We face significant competition for personnel. Failure to manage our hiring needs effectively or successfully integrate our new hires may have a material adverse effect on our business, financial condition and operating results. Additionally, the growth of our business places significant demands on our operations, as well as our management and other employees. The growth of our business may require significant additional resources to meet these daily requirements, which may not scale in a cost-effective manner or may negatively affect the quality of our services and client experience. We are also required to manage relationships with a growing number of partners, institutions, clients and other third parties. Our current information technology systems and our internal controls and procedures may not be adequate to support the future growth of our operations and employee base. If we are unable to manage the growth of our operations effectively, our business, financial condition and operating results may be materially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success depends on our ability to price accurately the risks that we underwrite.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 or financial condition depend on our ability to accurately price for a wide variety of risks. To source and underwrite acquisitions of SMEs accurately, we must collect and properly analyze a substantial amount of data; develop, test and apply appropriate pricing techniques; closely monitor and timely recognize changes in trends; and project both severity and frequency of losses with reasonable accuracy. Our ability to undertake these efforts successfully, and as a result, price our acquisitions accurately, is subject to a number of risks and uncertainties, some of which are outside our control, including: the availability of reliable third party data and our ability to properly analyze such data; the uncertainties that inherently characterize estimates and assumptions; our selection and application of appropriate pricing techniques; and changes in applicable legal liability standards. Consequently, we could underprice risks, which would adversely affect our results, or we could overprice risks, which would reduce the volume of acquisitions and our overall competitiveness. In either case, our results of operation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determination as to whether certain Teamshares assets are viewed as securities (i.e., by falling within the definition of an “investment contract”) is made by Teamshares and if the SEC were to disagree with Teamshares’ determination, Teamshares could be deemed to be an investment company under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Section 3(a)(1)(A) of the Investment Company Act defines an “investment company” to include a company that “is or holds itself out as being engaged primarily, or proposes to engage primarily, in the business of investing, reinvesting or trading in securities.” Whether a company is engaged primarily in the business of investing in securities is a question of fact that is determined through the analysis of five factors. No single factor by itself is dispositive. The relevant factors are: (1) the nature of a company’s assets; (2) the source of a company’s income; (3) the company’s historic development; (4) the company’s public representations; and (5) the activities of the company’s officers and directors. In the context of its Section 3(a)(1)(A) analysis, and specifically Section 3(a)(1)(A)’s asset test, Teamshares has determined that neither Teamshares’ equity interest in Teamshares Operating Subsidiaries nor the loans from Teamshares to Teamshares Operating Subsidiaries are a “security.” This determination is based upon Teamshares’ conclusion that neither should be viewed as an “investment contract.” Applicable case law has found that an “investment contract” exists when there is the investment of money in a common enterprise with a reasonable expectation of profits to be derived primarily from the efforts of others. The above determinations were made by Teamshares based in large part on case law precedent and no-action letters issued by the SEC staff and other SEC interpretive guidance, and the significant relationship that exists between Teamshares and Teamshares Operating Subsidiaries (e.g., our integration of the Teamshares Operating Subsidiaries onto the Teamshares platform through our onboarding process, which includes, among other resources, sourcing executive talent, providing capital table management support, health and business insurance products, and accounting and payroll platforms). Additionally, based in large part on case law precedent and SEC staff no-action letters, Teamshares determined that the loans from Teamshares to Teamshares Operating Subsidiaries should not constitute securities that are “evidences of indebtedness” under the Investment Company Act. Teamshares has not requested the SEC to approve this analysis and the SEC has not done so. If the SEC were to disagree with Teamshares’ analysis or relevant factual circumstances were to change, Teamshares may be required to adjust its analysis and, potentially, its asset composition, in order to support its conclusion that it should not be deemed to be an investment company under the Investment Company Act. If Teamshares were required to register as an investment company under the Investment Company Act, compliance with the additional associated regulatory burdens would require additional expense and attention from management for which Teamshares has not accounted and, furthermore, could require Teamshares to restructure its operations, sell certain of its assets or abstain from the purchase of certain assets, which could have a material adverse effect on Teamshares’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indebtedness could expose us to risks that could adversely affect our business, results of operations and financial condition, and we may not be able to refinance such indebtedness on favorable terms or at all. </w:t>
      </w:r>
    </w:p>
    <w:p>
      <w:pPr>
        <w:pStyle w:val="TextBody"/>
        <w:bidi w:val="0"/>
        <w:spacing w:before="120" w:after="0"/>
        <w:jc w:val="left"/>
        <w:rPr>
          <w:rFonts w:ascii="Times New Roman" w:hAnsi="Times New Roman"/>
          <w:sz w:val="20"/>
        </w:rPr>
      </w:pPr>
      <w:r>
        <w:rPr>
          <w:rFonts w:ascii="Times New Roman" w:hAnsi="Times New Roman"/>
          <w:sz w:val="20"/>
        </w:rPr>
        <w:t xml:space="preserve">Unless we are able to repay, amend the terms or refinance the terms of our credit facilities and other indebtedness, New Teamshares may face liquidity constraints and have less or insufficient capital available to acquire the number of Additional Operating Subsidiaries on a timeline or on terms consistent with management’s expectations as of the date of this prospectus, if at all, and New Teamshares may be forced to rely upon more expensive financing arrangements on a temporary or longer term basis. </w:t>
      </w:r>
    </w:p>
    <w:p>
      <w:pPr>
        <w:pStyle w:val="TextBody"/>
        <w:bidi w:val="0"/>
        <w:spacing w:before="240" w:after="0"/>
        <w:jc w:val="left"/>
        <w:rPr>
          <w:rFonts w:ascii="Times New Roman" w:hAnsi="Times New Roman"/>
          <w:sz w:val="20"/>
        </w:rPr>
      </w:pPr>
      <w:r>
        <w:rPr>
          <w:rFonts w:ascii="Times New Roman" w:hAnsi="Times New Roman"/>
          <w:sz w:val="20"/>
        </w:rPr>
        <w:t>As of March 31, 2026, Legacy Teamshares had approximately $153.4 million outstanding under the i80 Facility and approximately $33.9 million outstanding under the HBC Facility. The i80 Facility bears interest at the lesser of SOFR plus 11% or 16% (with a weighted-average interest rate of 14.7% for as of March 31, 2026) and matures on December 5, 2026. On December 24, 2025, Legacy Teamshares and certain subsidiaries entered into a Credit Agreement with funds managed, advised, or sub-advised by JBA Asset Management LLC (as amended on March 2, 2026 and as may be further amended or supplemented from time to time the “</w:t>
      </w:r>
      <w:r>
        <w:rPr>
          <w:rFonts w:ascii="Times New Roman" w:hAnsi="Times New Roman"/>
          <w:b/>
          <w:sz w:val="20"/>
        </w:rPr>
        <w:t>HBC Facility</w:t>
      </w:r>
      <w:r>
        <w:rPr>
          <w:rFonts w:ascii="Times New Roman" w:hAnsi="Times New Roman"/>
          <w:sz w:val="20"/>
        </w:rPr>
        <w:t xml:space="preserve">”), providing for term loan commitments to certain unencumbered subsidiaries in an aggregate principal of $33.9 million. Live Oak provided its consent under the Merger Agreement for borrowings under the HBC Facility. Legacy Teamshares drew $25.0 million concurrent with the closing of the HBC Facility, and recorded a debt discount of $5.3 million. The Sound Point Facility was repaid in full in December 2025 using proceeds from the HBC Facility. As additional consideration for entering into the HBC Facility, the Company agreed to pay HBC $1.0 million in cash, or an equivalent value of shares of common stock in New Teamshares, following the closing of the Business Combination. New Teamshares has the option to pay in cash or shares. At the time of this prospectus, New Teamshares has chosen to pay in shares. In March 2026, the HBC Facility was amended to provide additional term loan commitments in an aggregate principal amount of $3.6 million. The Company received proceeds of $2.9 million and recognized a debt discount of $0.6 million and debt issuance costs of $0.1 million. The proceeds from this amendment were utilized to fund an operating company acquisition. The HBC Facility matured at Closing and was repaid using proceeds from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We are actively pursuing opportunities to refinance the i80 Facility on improved terms; however, any such refinancing would depend on market conditions and prospective lenders’ perspectives on the creditworthiness of the Company. There can be no assurance that the Company will be able to obtain such refinancing on acceptable terms, or at all. If we are unable to refinance the i80 Facility prior to its maturity, we may be required to repay approximately $153.4 million (including any accrued PIK interest) from available cash or from the proceeds of other financing transactions, which may not be available on favorable terms or at all. Unless we are able to repay, amend the terms or refinance the terms of our credit facility and other indebtedness, New Teamshares may face liquidity constraints and have less or insufficient capital available to acquire additional Operating Subsidiaries on a timeline or on terms consistent with management’s expectations as of the date of this prospectus, if at all, and Teamshares may be forced to rely upon more expensive financing arrangements on a temporary or longer term basis. If we are unable to refinance or repay our indebtedness when due, we may be forced to take other actions to satisfy our obligations, such as seeking additional equity financing (which may be dilutive to existing stockholders), selling assets, or reducing or delaying capital expenditures, strategic acquisitions, or investments. These actions may not be successful and could have a material adverse effect on our business, financial condition, results of operations, and liquidity.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may incur additional indebtedness. Our indebtedness could have significant negative consequences for our security holders, business, results of operations and financial condition by, among other things: increasing our vulnerability to adverse economic and industry conditions; limiting our ability to obtain additional financing; requiring the dedication of a substantial portion of our cash flow from operations to service our indebtedness, which will reduce the amount of cash available for other purposes; limiting our flexibility to plan for, or react to, changes in our business; and placing us at a possible competitive disadvantage with competitors that are less leveraged than us or have better access to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business may not generate sufficient funds, and we may otherwise be unable to maintain sufficient cash reserves to pay any additional indebtedness that we may incur. In addition, any future indebtedness that we may incur may contain financial and other restrictive covenants that will limit our ability to operate our business, raise capital or make payments under our indebtedness. If we fail to comply with such covenants or to make payments under any of our indebtedness when due, then we would be in default under that indebtedness, which could, in turn, result in that indebtedness becoming immediately payable in full and cross-default or cross-acceleration under our other indebtedness and other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history of net operating losses and may not achieve profitability in the future. We may need additional capital to fund our operations. If we fail to obtain additional capital, we may be unable to sustain operations and growth of the business. </w:t>
      </w:r>
    </w:p>
    <w:p>
      <w:pPr>
        <w:pStyle w:val="TextBody"/>
        <w:bidi w:val="0"/>
        <w:spacing w:before="120" w:after="0"/>
        <w:jc w:val="left"/>
        <w:rPr>
          <w:rFonts w:ascii="Times New Roman" w:hAnsi="Times New Roman"/>
          <w:sz w:val="20"/>
        </w:rPr>
      </w:pPr>
      <w:r>
        <w:rPr>
          <w:rFonts w:ascii="Times New Roman" w:hAnsi="Times New Roman"/>
          <w:sz w:val="20"/>
        </w:rPr>
        <w:t xml:space="preserve">Teamshares and the Teamshares Operating Subsidiaries may continue to incur operating losses in the future as we continue to expand and develop, and we may need additional capital from external sources. We may require additional financing to fund operations, acquisitions or growth. Teamshares and the Teamshares Operating Subsidiaries expect to require substantial capital to execute its strategy, including to finance acquisitions, support working capital, invest in systems and personnel and service indebtedness. The failure to secure additional financing could have a material adverse effect on the continued development or growth of Teamshares and the Teamshares Operating Subsidiaries. Such financings may result in dilution to stockholders, issuance of securities with priority as to liquidation and dividend and other rights more favorable than common stock, imposition of debt covenants and repayment obligations, or other restrictions that may adversely affect their business. In addition, we may seek additional capital due to favorable market conditions or strategic considerations even if it believes that it has sufficient funds for current or future operating plans. There can be no assurance that financing will be available to Teamshares on favorable terms, or at all. The inability to obtain financing when needed may make it more difficult for Teamshares and the Teamshares Operating Subsidiaries to operate their businesses or implement their growth plans.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inability to consummate acquisitions at our historical rate and at appropriate prices, and to make appropriate investments that support our long-term strategy,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grow revenues, earnings and cash flow at or above our historic rates depends in part upon our ability to identify and successfully acquire and integrate businesses at appropriate prices and realize anticipated synergies, and to make appropriate investments that support our long-term strategy. We may not be able to consummate acquisitions at rates similar to the past, which could adversely impact our business. Promising acquisitions and investments are difficult to identify and complete for a number of reasons, including high valuations, competition among prospective buyers or investors, the availability of affordable funding in the capital markets and the need to satisfy applicable closing conditions and obtain applicable antitrust and other regulatory approvals on acceptable terms. For example, antitrust scrutiny by regulatory agencies and changes to regulatory approval processes in the U.S. and non-U.S. jurisdictions may cause approvals to take longer than anticipated to obtain, may not be obtained at all, or may contain burdensome conditions, which may jeopardize, delay or reduce the anticipated benefits of acquisitions to us and could impede the execution of our business strategy. In addition, competition for acquisitions and investments has resulted and may result in higher purchase prices. Changes in accounting or regulatory requirements or instability in the credit markets could also adversely impact our ability to consummate acquisitions and investments. Competitive dynamics, valuation dislocations, reduced M&amp;A activity, adverse macroeconomic conditions, reputational factors, or a failure to articulate a compelling value proposition to founders may impair deal flow. If we cannot acquire at the pace or on the terms contemplated in our plans, our revenues, profitability and long-term growth could be materially negatively affected.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order to achieve the substantial future revenue growth, we have projected, our growth depends on our ability to identify attractive businesses and persuade owners to sell on acceptable terms. To properly manage our growth, we will need to hire and retain additional personnel, upgrade our existing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operational management and financial and reporting systems, and improve our business processes and controls. Our future expansion will include hiring and training new personnel; continuing to improve the existing operational management and financial reporting systems and team to comply with requirements as a public company; and implementing and enhancing administrative infrastructure, systems and processes.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Engaging in acquisitions involves risks, and, if we are unable to effectively manage these risks, our business could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consistently engage in discussions concerning acquisition opportunities and, as a result of such discussions, may enter into acquisition transactions with potential Operating Subsidiaries. Acquisitions entail numerous potential risks, including the following: difficulties in the integration of the acquired business, which include implementation of proper internal controls over financial reporting; assumption of unknown material liabilities; transitioning the business from the former owner’s management and the reliance that employees may have on management; diversion of management’s attention from other business concerns; failure to achieve financial or operating objectives or other anticipated benefits or synergies and/or anticipated cost savings; and potential loss of customers or key employees. We may not be able to integrate or operate successfully any business, operations, personnel, services or products that we may acquire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international operations involve inherent risks that could result in harm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Certain Teamshares Operating Subsidiaries operate in international markets, which subject Teamshares and Teamshares Operating Subsidiaries to risks associated with the legislative, judicial, accounting, regulatory, political and economic risks and conditions specific to such markets, and which could adversely affect Teamshares and Teamshares Operating Subsidiaries’ respective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Teamshares and Teamshares Operating Subsidiaries expect to continue to expand their international presence. Teamshares and Teamshares Operating Subsidiaries face, and expect to continue to face, additional risks in the case of their existing and future international operations,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instability, adverse changes in diplomatic relations and unfavorable economic and business conditions in the markets in which they currently have international operations or into which they may expand, particularly in the case of emerging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the enforcement of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tax consequences due both to the complexity of operating across multiple tax regimes as well as changes in, or new interpretations of, international tax treaties and structures;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expropriations of property and risks of renegotiation or modification of existing agreements with governmental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diminished ability to legally enforce certain contractual rights in foreign countries;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managing operations and adapting to consumer desires due to distance, language and cultural differences, including issues associated with (i) business practices and customs that are common in certain foreign countries but might be prohibited by U.S. law and their internal policies and procedures, and (ii) management and operational systems and infrastructures, including internal financial control and reporting systems and functions, staffing and managing of foreign operations, which they might not be able to do effectively or cost-efficiently.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Teamshares and Teamshares Operating Subsidiaries expand into new markets, these risks will be intensified and will have the potential to impact a greater percentage of their business and operating results. Teamshares and Teamshares Operating Subsidiaries’ ability to expand their respective international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operations into new jurisdictions, or further into existing jurisdictions will depend, in significant part, on their ability to identify potential acquisition candidates, joint venture or other partners, and enter into arrangements with these parties on favorable terms, as well as Teamshares and Teamshares Operating Subsidiaries’ ability to make continued investments to maintain and grow existing international operations. If the revenue generated by international operations is insufficient to offset expenses incurred in connection with the maintenance and growth of these operations, Teamshares and Teamshares Operating Subsidiaries’ respective business, financial condition and results of operations could be materially and adversely affected. In addition, in an effort to make international operations in one or more given jurisdictions profitable over the long term, significant additional investments that are not profitable over the short term could be required over a prolonged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Teamshares’ success will depend on its ability to attract and retain personnel and manage human capital both for itself and the Teamshares Operating Subsidiaries, while controlling labor costs. </w:t>
      </w:r>
    </w:p>
    <w:p>
      <w:pPr>
        <w:pStyle w:val="TextBody"/>
        <w:bidi w:val="0"/>
        <w:spacing w:before="120" w:after="0"/>
        <w:jc w:val="left"/>
        <w:rPr>
          <w:rFonts w:ascii="Times New Roman" w:hAnsi="Times New Roman"/>
          <w:sz w:val="20"/>
        </w:rPr>
      </w:pPr>
      <w:r>
        <w:rPr>
          <w:rFonts w:ascii="Times New Roman" w:hAnsi="Times New Roman"/>
          <w:sz w:val="20"/>
        </w:rPr>
        <w:t xml:space="preserve">Teamshares’ future success depends on its ability to attract, recruit, train, retain, motivate and integrate key personnel for itself and the Teamshares Operating Subsidiaries, including its management team, key executives, and other key talent, and the management team and key research and development, manufacturing, engineering and sales and marketing personnel for the Teamshares Operating Subsidiaries. Competition for qualified personnel is intense. The loss or incapacity of existing members of Teamshares’ executive management team could adversely affect its operations if it experiences difficulties in hiring qualified successors. The service of Teamshares’ executive officers is at-will and may end at any point in time. In addition, all of Teamshares and the Teamshares Operating Subsidiaries’ employees are at-will, which means that either they or the employee may terminate their employment at any time. </w:t>
      </w:r>
    </w:p>
    <w:p>
      <w:pPr>
        <w:pStyle w:val="TextBody"/>
        <w:bidi w:val="0"/>
        <w:spacing w:before="240" w:after="0"/>
        <w:jc w:val="left"/>
        <w:rPr>
          <w:rFonts w:ascii="Times New Roman" w:hAnsi="Times New Roman"/>
          <w:sz w:val="20"/>
        </w:rPr>
      </w:pPr>
      <w:r>
        <w:rPr>
          <w:rFonts w:ascii="Times New Roman" w:hAnsi="Times New Roman"/>
          <w:sz w:val="20"/>
        </w:rPr>
        <w:t xml:space="preserve">Teamshares believes that its management team must be able to act decisively to apply and adapt its business model in the rapidly changing markets in which it and the Teamshares Operating Subsidiaries will compete. In addition, the Teamshares Operating Subsidiaries rely upon technical and scientific employees or third-party contractors to effectively establish, manage and grow their businesses. Consequently, Teamshares believes that its future viability and the future viability of the Teamshares Operating Subsidiaries will depend largely on their ability to attract and retain highly skilled managerial, sales, scientific and technical personnel. In order to do so, in the future it may need to pay higher compensation or fees to its employees or consultants than currently expected, and such higher compensation payments may have a negative effect on its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Competition for experienced, high-quality personnel is intense, and there is no assurance that Teamshares or the Teamshares Operating Subsidiaries will be able to recruit and retain such personnel. Because of the technical nature of the technologies and products offered by the Teamshares Operating Subsidiaries, any failure of the Teamshares Operating Subsidiaries to attract, recruit, train, retain, motivate and integrate qualified personnel could also materially harm Teamshares’ operating results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self-insurance programs may expose us to significant and unexpected costs and losses. </w:t>
      </w:r>
    </w:p>
    <w:p>
      <w:pPr>
        <w:pStyle w:val="TextBody"/>
        <w:bidi w:val="0"/>
        <w:spacing w:before="120" w:after="0"/>
        <w:jc w:val="left"/>
        <w:rPr>
          <w:rFonts w:ascii="Times New Roman" w:hAnsi="Times New Roman"/>
          <w:sz w:val="20"/>
        </w:rPr>
      </w:pPr>
      <w:r>
        <w:rPr>
          <w:rFonts w:ascii="Times New Roman" w:hAnsi="Times New Roman"/>
          <w:sz w:val="20"/>
        </w:rPr>
        <w:t xml:space="preserve">We utilize a self-insurance program, through a captive insurance subsidiary, to manage certain risks across our operations and Teamshares Operating Subsidiaries. Our captive issues insurance policies covering selected exposures that may include workers’ compensation, general liability, professional liability, directors and officers liability, employment practices liability, and health or other benefits-related risks, among others. Self-insurance and captive insurance structures inherently expose us to risks that differ from, and may be greater than, those associated with purchasing third-party commercial insurance. If our captive insurance program does not perform as expected, our business, results of operations, financial condition and cash flows could be materially adversely affected. The adequacy of our captive insurance reserves is subject to significant judgment and uncertainty. We establish reserves based on actuarial analyses and other assumptions regarding the frequency, severity and timing of claims, as well as legal,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medical, economic and social inflation, claim development patterns, and changes in the regulatory and litigation environment. Actual losses, settlement costs and defense expenses may materially exceed our reserves due to factors including large or catastrophic events, tail risk claims, adverse case law developments, expanded theories of liability or damages, increased jury verdicts, clustering of claims in particular lines or geographies, and changes in claim reporting or handling. Adverse reserve development would result in increased expenses and could require us to materially increase our funding of the captive, reduce available capital for other uses, and negatively affect our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use our net operating losses and certain other attributes may be subject to certain limitations.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the Company has $140.2 million of federal net operating losses available for U.S. income tax purposes, which have an indefinite carryforward period. As of March 31, 2026, the Company has $0.3 million of federal tax credit carryforwards that expire beginning in 2042, and disallowed interest expense carryforwards of $101.8 million that can be carried forward indefinitely. As of March 31, 2026, the Company also had $89.9 million of net operating losses for U.S. state income taxes which will expire in periods beginning in 2031.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federal and state net operating loss carryforwards and certain tax credits may be subject to significant limitations under Section 382 and Section 383 of the Code, respectively, and similar provisions of state law, including limitations that may result from the consummation of the Business Combination.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not yet determined whether the Business Combination will give rise to an “ownership change” for purposes of Section 382 and Section 383 of the Code. Furthermore, we may have experienced ownership changes in the past and may experience ownership changes in the future as a result of subsequent shifts in our stock ownership (some of which shifts are outside our control). As a result, our ability to use our pre-change federal NOLs and other tax attributes to offset future taxable income and taxes could be subject to limitations. For these reasons, we may be unable to use a material portion of our NOLs and other tax attributes, which could adversely affect our future net income and cash flows.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Teamshares Operating Subsidiaries’ Operations </w:t>
      </w:r>
    </w:p>
    <w:p>
      <w:pPr>
        <w:pStyle w:val="TextBody"/>
        <w:bidi w:val="0"/>
        <w:spacing w:before="120" w:after="0"/>
        <w:jc w:val="left"/>
        <w:rPr>
          <w:rFonts w:ascii="Times New Roman" w:hAnsi="Times New Roman"/>
          <w:sz w:val="20"/>
        </w:rPr>
      </w:pPr>
      <w:r>
        <w:rPr>
          <w:rFonts w:ascii="Times New Roman" w:hAnsi="Times New Roman"/>
          <w:sz w:val="20"/>
        </w:rPr>
        <w:t xml:space="preserve">Unless the context otherwise requires, throughout this subsection, references to “we,” “us,” “our” and “the Company” refer to Teamshares.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Teamshares Operating Subsidiaries may be negatively impacted by volatility in the political and economic environment, such as geopolitical unrest, economic downturns and high interest rates, and a period of sustained inflation, which could have an adverse impact on our portfolio companies’ business, financial condition, results of operations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Trade, monetary and fiscal policies, including tariffs, inflation, and other political and economic conditions may substantially change, and credit markets may experience periods of constriction and variability. These conditions may impact Teamshares Operating Subsidiaries’ businesses. Further, rising inflation may negatively impact Teamshares Operating Subsidiaries and raise their costs. While Teamshares Operating Subsidiaries will take actions, wherever possible, to reduce the impact of the effects of inflation, if inflation rates continue to rise, it could become increasingly difficult to effectively mitigate increases to their costs. If Teamshares and Teamshares Operating Subsidiaries are unable to take actions to effectively mitigate the effect of the resulting higher costs, our business, financial condition, results of operations and prospects could be adversely impacted. Higher interest rates, coupled with reduced government spending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volatility in financial markets, may increase economic uncertainty and affect Teamshares Operating Subsidiaries. If the equity and credit markets deteriorate, including as a result of political or economic unrest or war, it may make necessary debt or equity financing more costly or unavailable to Teamshares Operating Subsidiaries. Increased inflation rates can adversely affect Teamshares and Teamshares Operating Subsidiaries by increasing costs, including labor and employee benefit costs. In addition, higher inflation, macroeconomic turmoil, economic uncertainty and market-wide liquidity concerns could also adversely affect Teamshares Operating Subsidiaries’ suppliers and potential customers, which could have an adverse impact on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 policies, priorities, regulations, mandates and funding levels may positively or negatively affect Teamshares Operating Subsidiaries that do business with governmental entities. </w:t>
      </w:r>
    </w:p>
    <w:p>
      <w:pPr>
        <w:pStyle w:val="TextBody"/>
        <w:bidi w:val="0"/>
        <w:spacing w:before="120" w:after="0"/>
        <w:jc w:val="left"/>
        <w:rPr>
          <w:rFonts w:ascii="Times New Roman" w:hAnsi="Times New Roman"/>
          <w:sz w:val="20"/>
        </w:rPr>
      </w:pPr>
      <w:r>
        <w:rPr>
          <w:rFonts w:ascii="Times New Roman" w:hAnsi="Times New Roman"/>
          <w:sz w:val="20"/>
        </w:rPr>
        <w:t xml:space="preserve">Certain Teamshares Operating Subsidiaries contract with, or sell goods and services to, federal, state, local and quasi-governmental entities, and their demand, pricing and profitability are subject to the policies, priorities, procurement practices, compliance mandates and funding levels of those customers, which can change with legislation, administrative action, elections, macroeconomic conditions and shifts in public policy. </w:t>
      </w:r>
    </w:p>
    <w:p>
      <w:pPr>
        <w:pStyle w:val="TextBody"/>
        <w:bidi w:val="0"/>
        <w:spacing w:before="240" w:after="0"/>
        <w:jc w:val="left"/>
        <w:rPr>
          <w:rFonts w:ascii="Times New Roman" w:hAnsi="Times New Roman"/>
          <w:sz w:val="20"/>
        </w:rPr>
      </w:pPr>
      <w:r>
        <w:rPr>
          <w:rFonts w:ascii="Times New Roman" w:hAnsi="Times New Roman"/>
          <w:sz w:val="20"/>
        </w:rPr>
        <w:t xml:space="preserve">Appropriations delays, continuing resolutions, sequestration, government shutdowns, changes in grant programs, reprioritization of spending, or the expiration or non-renewal of stimulus or infrastructure initiatives can reduce, defer or cancel purchases under existing contracts or expected awards, and awards may be protested, delayed or overturned; tasking under indefinite-delivery vehicles is discretionary; and multi-year contracts are commonly subject to annual appropriations and may be reduced or not exercised. Government contracting also imposes specialized and evolving requirements and terms, including state and local procurement codes, socio-economic preferences and set-aside programs, domestic sourcing rules (e.g., Buy American and Trade Agreements Act), prevailing wage and labor standards (e.g., the Service Contract Act and Davis-Bacon Act), cost allowability and pricing rules, audit and recordkeeping obligations, cybersecurity and data protection standards, export controls and sanctions, anti-corruption and ethics requirements, immigration verification, health, safety and environmental rules, and industry-specific licensing and permitting—which are frequently amended, complex, and may be interpreted differently by authorities, creating substantial compliance burdens for small and mid-sized enterprises. Government contracts often include unique terms that heighten performance and financial risk, such as audit rights and cost disallowances, price reductions, “most favored customer” or defective pricing remedies, intellectual property and data rights, strict change and inspection rights, mandatory flow-downs, and unilateral rights to modify work, withhold or recoup payments, impose liquidated damages, or terminate for default or for convenience. Failure to comply with applicable requirements—such as ethics, sourcing, labor standards, cybersecurity incident reporting, socio-economic certifications, or maintaining required registrations, licenses and permits—can result in bid exclusions, adverse past performance ratings, payment withholds, contract terminations, required refunds, civil or criminal liability (including under the False Claims Act), suspension or debarment, and reputational harm. Even absent noncompliance, changes in law, regulation, policy or enforcement priorities may require companies to alter practices, invest in new capabilities, or incur higher compliance costs, any of which can reduce margins or limit participation in the public sector market. Because some Operating Subsidiaries may rely on government awards or subcontracts for a meaningful portion of revenue, decreases in spending, delays in awards, adverse audit outcomes, or contract terminations could materially affect their sales, profitability, cash flows and financial condition; aggregated across Teamshares and Teamshares Operating Subsidiaries, these effects could adversely affect our overall operating results. Favorable policy shifts or increased program funding could expand demand and benefit financial performance, but there can be no assurance that such conditions will persist or that Operating Subsidiaries will be positioned to capture such opportunities.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revenues are derived from a portfolio of Operating Subsidiaries, and adverse developments affecting multiple Operating Subsidiaries, industries, or geographic regions could materially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Teamshares derives its revenues from a diversified portfolio of over 90 Operating Subsidiaries across multiple industries and geographic regions. While no single operating subsidiary accounted for more than 6% of consolidated revenues during both the year ended December 31, 2025 and the three months ended March 31, 2026, adverse developments affecting multiple Operating Subsidiaries, a particular industry in which multiple operating subsidiaries operate, or a geographic region in which multiple operating subsidiaries are located could materially adversely affect Teamshares’ consolidated financial results. Additionally, while Teamshares seeks to diversify its portfolio across industries and geographies, there can be no assurance that such diversification will adequately mitigate the risks associated with industry-specific or regional downturns. Factors such as economic recessions, labor shortages, supply chain disruptions, regulatory changes, or natural disasters could disproportionately impact certain industries or regions, which could in turn affect multiple Operating Subsidiaries and have a material adverse effect on Teamshares’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litigation and other disputes arising from our employee ownership stock compensation model, including class and collective actions challenging the valuation and terms of employee owners’ restricted stock, which could adversely affect our business, financial condition, results of operations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Our model provides employees at Teamshares Operating Subsidiaries with equity in the form of restricted stock or similar awards. The design, administration, disclosure and valuation of these awards involve judgment and complex legal, tax and accounting considerations. We could face claims by current or former employees, minority holders or other stakeholders alleging, among other things, inadequate or misleading disclosures, conflicts of interest, improper pricing or valuation methodologies, breaches of fiduciary duty or contractual obligations, dilution or unfair treatment in connection with grants, forfeitures, repurchases, liquidity programs or corporate transactions. In particular, we could be subject to individual, class or collective actions alleging that the valuation of employee owners’ restricted stock was inaccurate, inconsistent, untimely or otherwise improper, that valuation providers lacked independence, or that changes in valuation or plan terms harmed employee owners. </w:t>
      </w:r>
    </w:p>
    <w:p>
      <w:pPr>
        <w:pStyle w:val="TextBody"/>
        <w:bidi w:val="0"/>
        <w:spacing w:before="240" w:after="0"/>
        <w:jc w:val="left"/>
        <w:rPr>
          <w:rFonts w:ascii="Times New Roman" w:hAnsi="Times New Roman"/>
          <w:sz w:val="20"/>
        </w:rPr>
      </w:pPr>
      <w:r>
        <w:rPr>
          <w:rFonts w:ascii="Times New Roman" w:hAnsi="Times New Roman"/>
          <w:sz w:val="20"/>
        </w:rPr>
        <w:t xml:space="preserve">Any such claims could result in monetary damages, penalties, equitable relief (including rescission or reformation), attorneys’ fees, costs, adverse judgments or settlements, increased administrative burdens and negative publicity.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Fluctuations in supply and labor costs and availability could adversely affect the operating results of our Operating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Operating Subsidiaries within the Teamshares ecosystem are exposed to volatility in the availability and cost of components, raw materials, other commodities and consumables, as well as skilled and unskilled labor, and these exposures can vary by sector, geography and scale. Prices for and availability of inputs and labor have fluctuated significantly in recent years and may continue to do so due to inflationary pressures, supplier capacity constraints, shifts in demand, decreased availability of key raw materials or commodities, legislative or regulatory changes, bankruptcy or strategic exits by suppliers, and external events such as natural disasters, public health crises, war, terrorism and governmental actions (including trade protectionism, tariffs and export controls). Many Teamshares Operating Subsidiaries are SMEs that, for reasons including quality assurance, local market dynamics, regulatory requirements, cost effectiveness, or unique design specifications, source certain inputs from sole or limited-source suppliers or rely on concentrated regional supply chains. If there are interruptions in the supply of, or increases in the cost of, such inputs, these companies may be unable to qualify replacement suppliers on a timely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economically feasible basis. Sustained input or labor shortages, or cost increases, can lead to production interruptions, delays, extended lead times and operational inefficiencies, which, in turn, can adversely affect revenue, margins and cash flows at the company level and, on an aggregated basis, across the network.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customer bases of many Teamshares Operating Subsidiaries are highly competitive and price sensitive, and certain contractual arrangements or market norms may limit the ability to pass through higher input or labor costs promptly or fully. Whenever higher costs cannot be recovered through pricing or offset through productivity initiatives, or where there is a timing lag between cost increases and recovery or offset, margins and profitability may decline. Profitability may also be adversely affected if companies are unable to align purchasing and capacity with changes in customer demand and market fluctuations, including seasonality or cyclicality in local end markets. During demand upturns, suppliers may extend lead times, limit allocations or increase prices; during downturns, commitments entered to secure supply, including noncancelable purchase arrangements, may constrain the ability to reduce inventory or adjust cost structures. Because small and mid-sized manufacturers, distributors and services businesses cannot always quickly adapt their production capacity, workforce levels or overhead to changing conditions, capacity may at times exceed or fall short of requirements, resulting in inefficiencies, loss of customers or share to competitors, and adverse effects on operating results. Any of these factors could negatively impact the performance of individual Operating Subsidiaries and, collectively, the financial results of Teamshares and Teamshares Operating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Security breaches and other disruptions could compromise our information and expose us to liability, which would cause our business and reputation to suffer.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our business, we collect and store sensitive data, including intellectual property, our proprietary business information, and financial information regarding Teamshares and Teamshares Operating Subsidiaries. The secure processing, maintenance, and transmission of this information is critical to our operations and business strategy.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w:t>
      </w:r>
    </w:p>
    <w:p>
      <w:pPr>
        <w:pStyle w:val="TextBody"/>
        <w:bidi w:val="0"/>
        <w:spacing w:before="240" w:after="0"/>
        <w:jc w:val="left"/>
        <w:rPr>
          <w:rFonts w:ascii="Times New Roman" w:hAnsi="Times New Roman"/>
          <w:sz w:val="20"/>
        </w:rPr>
      </w:pPr>
      <w:r>
        <w:rPr>
          <w:rFonts w:ascii="Times New Roman" w:hAnsi="Times New Roman"/>
          <w:sz w:val="20"/>
        </w:rPr>
        <w:t xml:space="preserve">Advanced attacks are multi-staged, unfold over time, and utilize a range of attack vectors with military-grade cyber weapons and proven techniques, such as spear phishing and social engineering, leaving organizations and users at high risk of being compromised. The vast majority of data breaches, whether conducted by a cyber attacker from inside or outside of the organization, involve the misappropriation of digital identities and user credentials. These credentials are used to gain legitimate access to sensitive systems and high-value personal and corporate data, including Teamshares Operating Subsidiaries’ monthly financials and economic metrics. Many large, well-known organizations have been subject to cyber-attacks that exploited the identity vector, demonstrating that even organizations with significant resources and security expertise have challenges securing their identities. Any such access, disclosure, or other loss of information could result in legal claims or proceedings, liability under laws that protect the privacy of personal information, regulatory penalties, a disruption of our operations, damage to our reputation, or a loss of confidence in our business, any of which could adversely affect our business, revenues, and competitive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Teamshares Operating Subsidiaries may face particular data protection and privacy risks in connection with the European Union’s General Data Protection Regulation and other privacy laws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Data privacy laws continue to evolve in various jurisdictions, including the scope of consumer and commercial privacy protections. It is possible that data privacy laws, including those that may develop regarding new technologies such as AI, may be interpreted in various jurisdictions to apply to our business in the future. As our business grows, it is therefore possible that we will have a higher regulatory risk profile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increased costs as we seek to comply with new regulatory requirements related to the processing of personal and commercial data. Teamshares Operating Subsidiaries is subject to laws of various jurisdictions where it operates or does business related to solicitation, collection, processing, transferring, storing or use of consumer, customer, vendor, investor, employee or other stakeholder information and personal data, including, but not limited to, the General Data Protection Regulation of the European Union and various other privacy laws and regulations. Teamshares Operating Subsidiaries may be subject to additional regulations, such as the European Union AI Act, that specifically affect the use of personal information in the context of AI systems. The changes introduced by these laws and regulations increase the complexity of regulations enacted to protect business and personal data, subject Teamshares Operating Subsidiaries to additional costs. These laws and regulations may grant, among other things, individual rights to access and delete personal information, and the right to opt out of the sale of personal information. These laws and regulations can also impose significant forfeitures and penalties for noncompliance and afford private rights of action to individuals under certain circumstances. Any failure to manage data privacy in compliance with applicable laws and regulations could result in significant regulatory investigations, fines, and sanctions, consumer and class action litigation, commercial litigation, prolonged negative publicity, data breaches, declining customer confidence, loss of key customers, employee liability, and other unfavorable consequences.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of New Teamshares Common Stock is likely to be highly volatile, and you may lose some or all of your investment. </w:t>
      </w:r>
    </w:p>
    <w:p>
      <w:pPr>
        <w:pStyle w:val="TextBody"/>
        <w:bidi w:val="0"/>
        <w:spacing w:before="120" w:after="0"/>
        <w:jc w:val="left"/>
        <w:rPr>
          <w:rFonts w:ascii="Times New Roman" w:hAnsi="Times New Roman"/>
          <w:sz w:val="20"/>
        </w:rPr>
      </w:pPr>
      <w:r>
        <w:rPr>
          <w:rFonts w:ascii="Times New Roman" w:hAnsi="Times New Roman"/>
          <w:sz w:val="20"/>
        </w:rPr>
        <w:t>Following the Business Combination, the market price of New Teamshares Common Stock may fluctuate significantly due to a number of factors, some of which may be beyond the our control, including those factors discussed in this “</w:t>
      </w:r>
      <w:r>
        <w:rPr>
          <w:rFonts w:ascii="Times New Roman" w:hAnsi="Times New Roman"/>
          <w:i/>
          <w:sz w:val="20"/>
        </w:rPr>
        <w:t>Risk Factors</w:t>
      </w:r>
      <w:r>
        <w:rPr>
          <w:rFonts w:ascii="Times New Roman" w:hAnsi="Times New Roman"/>
          <w:sz w:val="20"/>
        </w:rPr>
        <w:t xml:space="preserve">” section and many others,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fluctuations in the New Teamshares’ financial condition and operating results, including fluctuations in its quarterly and annual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involving Teamshares’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and regulations affecting Teamshares’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the New Teamshares’ operating performance and the performance of its competitors in 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public’s reaction to the New Teamshares’ press releases, its other public announcements and its filings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and departures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partnerships, joint ventures or capital commitments by the New Teamshares or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Teamshares’ failure to meet the estimates and projections of the investment community or that it may otherwise provide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about the New Teamshares or Teamshares’ industry, or positive or negative recommendations or withdrawal of research coverage by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 performance of the equity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New Teamshares Common Stock by the New Teamshares or its stockholders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New Teamshares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shareholder litigation;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the requirements of applicable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and market conditions other events or factors, many of which are beyond the New Teamshares’ control;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standards, policies, guidelines, interpretations or principles.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Sales of a substantial number of our securities in the public market by the Selling Securityholders and/or by our existing securityholders could cause the price of our shares of Common Stock to fall. </w:t>
      </w:r>
    </w:p>
    <w:p>
      <w:pPr>
        <w:pStyle w:val="TextBody"/>
        <w:bidi w:val="0"/>
        <w:spacing w:before="120" w:after="0"/>
        <w:jc w:val="left"/>
        <w:rPr>
          <w:rFonts w:ascii="Times New Roman" w:hAnsi="Times New Roman"/>
          <w:sz w:val="20"/>
        </w:rPr>
      </w:pPr>
      <w:r>
        <w:rPr>
          <w:rFonts w:ascii="Times New Roman" w:hAnsi="Times New Roman"/>
          <w:sz w:val="20"/>
        </w:rPr>
        <w:t xml:space="preserve">Sales, or the perception of potential sales, of a substantial number of shares of our common stock, Warrants and/or shares issuable upon conversion or exercise thereof by the Selling Securityholders and/or by our existing securityholders could cause the market price of our common stock to decline. This risk may be heightened because certain Selling Securityholders acquired, or have the right to acquire, securities at prices significantly below the current market price of our common stock and therefore may have an incentive to sell even if public investors experience losses on their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can sell, under this prospectus, (a) up to 14,564,643 shares of Common Stock and (b) up to 4,500,000 shares of Common Stock issuable upon the exercise of the Warrants at an exercise price of $11.50. Depending on the price, the public securityholders may have paid significantly more than the selling security holders for any shares they may have purchased in the open market based on variable market price. </w:t>
      </w:r>
    </w:p>
    <w:p>
      <w:pPr>
        <w:pStyle w:val="TextBody"/>
        <w:bidi w:val="0"/>
        <w:spacing w:before="240" w:after="0"/>
        <w:jc w:val="left"/>
        <w:rPr>
          <w:rFonts w:ascii="Times New Roman" w:hAnsi="Times New Roman"/>
          <w:sz w:val="20"/>
        </w:rPr>
      </w:pPr>
      <w:r>
        <w:rPr>
          <w:rFonts w:ascii="Times New Roman" w:hAnsi="Times New Roman"/>
          <w:sz w:val="20"/>
        </w:rPr>
        <w:t xml:space="preserve">Sales of a substantial number of our shares of Common Stock in the public market by the Selling Securityholders and/or by our other existing securityholders, or the perception that those sales might occur, could depress the market price of our Common Stock and could impair our ability to raise capital through the sale of additional equity securities. We are unable to predict the effect that such sales may have on the prevailing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sale of all the securities being offered in this prospectus could result in a significant decline in the public trading price of our securities. Despite such a decline in the public trading price, some of the Selling Securityholders may still experience a positive rate of return on the securities they purchased due to the differences in the purchase prices described elsewhere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Charter designates certain courts as the sole and exclusive forum for certain types of actions and proceedings that may be initiated by our stockholders, which could limit our stockholders’ ability to obtain a favorable judicial forum for disputes with us or our directors, officers, or employees. </w:t>
      </w:r>
    </w:p>
    <w:p>
      <w:pPr>
        <w:pStyle w:val="TextBody"/>
        <w:bidi w:val="0"/>
        <w:spacing w:before="120" w:after="0"/>
        <w:jc w:val="left"/>
        <w:rPr>
          <w:rFonts w:ascii="Times New Roman" w:hAnsi="Times New Roman"/>
          <w:sz w:val="20"/>
        </w:rPr>
      </w:pPr>
      <w:r>
        <w:rPr>
          <w:rFonts w:ascii="Times New Roman" w:hAnsi="Times New Roman"/>
          <w:sz w:val="20"/>
        </w:rPr>
        <w:t>Our Charter provides that, unless we consent in writing to an alternative forum, the Court of Chancery (the “</w:t>
      </w:r>
      <w:r>
        <w:rPr>
          <w:rFonts w:ascii="Times New Roman" w:hAnsi="Times New Roman"/>
          <w:b/>
          <w:sz w:val="20"/>
        </w:rPr>
        <w:t>Chancery Court</w:t>
      </w:r>
      <w:r>
        <w:rPr>
          <w:rFonts w:ascii="Times New Roman" w:hAnsi="Times New Roman"/>
          <w:sz w:val="20"/>
        </w:rPr>
        <w:t>”) of the State of Delaware or, in the event that the Chancery Court does not have jurisdiction, a state court located within the State of Delaware or the federal district court for the District of Delaware, shall, to the fullest extent permitted by law, be the sole and exclusive forum for (i) any derivative action or proceeding brought on our behalf, (ii) any action asserting a claim of breach of, or a claim based on, fiduciary duty owed by any current or former directors, officers, and employees of Teamshares Inc. to it or its stockholders, (iii) any action asserting a claim arising pursuant to any provision of the DGCL, the Charter or the Bylaws or (iv) any action asserting a claim that is governed by the internal affairs doctrine, in each case subject to the Chancery Court having personal jurisdiction over the indispensable parties named as defendants therein (the “</w:t>
      </w:r>
      <w:r>
        <w:rPr>
          <w:rFonts w:ascii="Times New Roman" w:hAnsi="Times New Roman"/>
          <w:b/>
          <w:sz w:val="20"/>
        </w:rPr>
        <w:t>Delaware Forum Provision</w:t>
      </w:r>
      <w:r>
        <w:rPr>
          <w:rFonts w:ascii="Times New Roman" w:hAnsi="Times New Roman"/>
          <w:sz w:val="20"/>
        </w:rPr>
        <w:t>”). The Delaware Forum Provision will not apply to any causes of action arising under the Securities Act or the Exchange Act. Our Charter further provides that, unless we consent in writing to the selection of an alternative forum, the federal district courts of the U.S. is the sole and exclusive forum for resolving any complaint asserting a cause or causes of action arising under the Securities Act (the “</w:t>
      </w:r>
      <w:r>
        <w:rPr>
          <w:rFonts w:ascii="Times New Roman" w:hAnsi="Times New Roman"/>
          <w:b/>
          <w:sz w:val="20"/>
        </w:rPr>
        <w:t>Federal Forum Provision</w:t>
      </w:r>
      <w:r>
        <w:rPr>
          <w:rFonts w:ascii="Times New Roman" w:hAnsi="Times New Roman"/>
          <w:sz w:val="20"/>
        </w:rPr>
        <w:t xml:space="preserve">”). This provision in the Charter does not address or apply to claims that arise under the Exchange Act; however, Section 27 of the Exchange Act creates exclusive federal jurisdiction over all suits brought to enforce any duty or liability created by the Exchange Act or the rules and regulations thereunder.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extent these provisions could be construed to apply to such claims, there is uncertainty as to whether a court would enforce such provisions in connection with such claims, and stockholders cannot waive compliance with the federal securities laws and the rules and regulations thereunder. Any person or entity purchasing or otherwise acquiring any interest in shares of our capital stock shall be deemed to have notice of and consented to the forum provisions in our Charter. </w:t>
      </w:r>
    </w:p>
    <w:p>
      <w:pPr>
        <w:pStyle w:val="TextBody"/>
        <w:bidi w:val="0"/>
        <w:spacing w:before="240" w:after="0"/>
        <w:jc w:val="left"/>
        <w:rPr>
          <w:rFonts w:ascii="Times New Roman" w:hAnsi="Times New Roman"/>
          <w:sz w:val="20"/>
        </w:rPr>
      </w:pPr>
      <w:r>
        <w:rPr>
          <w:rFonts w:ascii="Times New Roman" w:hAnsi="Times New Roman"/>
          <w:sz w:val="20"/>
        </w:rPr>
        <w:t xml:space="preserve">The Delaware Forum Provision and the Federal Forum Provision may impose additional litigation costs on stockholders in pursuing any such claims. Additionally, the forum selection clauses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Chancery Court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Charter also requires, to the fullest extent permitted by law, that derivative actions brought in our name, actions against directors, officers and employees for breach of fiduciary duty and other similar actions may be brought in the Chancery Court or, if that court does not have jurisdiction, a state court located within the State of Delaware or the federal district court for the District of Delaware.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may not be an active trading market for our Common Stock, which may make it difficult to sell our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An active trading market for our Common Stock may not be sustained. If an active trading market for our Common Stock is not sustained, you may not be able to sell your shares at an attractive price or at all. Furthermore, an inactive market may also impair our ability to raise capital by selling our shares of Common Stock in the future, and may impair our ability to enter into strategic collaborations by using our shares of Common Stock as consideration.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the consummation of the Business Combination, the Company has incurred, and will continue to incur, significant increased expenses and administrative burdens as a public company, which could have an adverse effect on its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the Company faces increased legal, accounting, administrative and other costs and expenses that Legacy Teamshares did not incur as a private company. The Sarbanes-Oxley Act, including the requirements of Section 404 thereof, as well as rules and regulations implemented by the SEC, the Dodd-Frank Wall Street Reform and Consumer Protection Act of 2010 and the rules and regulations promulgated thereunder, the Public Company Accounting Oversight Board (United States) and the securities exchanges, impose additional reporting and other obligations on public companies. Compliance with public company requirements has increased, and is expected to continue to increase, the Company’s costs and make certain activities more time-consuming. </w:t>
      </w:r>
    </w:p>
    <w:p>
      <w:pPr>
        <w:pStyle w:val="TextBody"/>
        <w:bidi w:val="0"/>
        <w:spacing w:before="240" w:after="0"/>
        <w:jc w:val="left"/>
        <w:rPr>
          <w:rFonts w:ascii="Times New Roman" w:hAnsi="Times New Roman"/>
          <w:sz w:val="20"/>
        </w:rPr>
      </w:pPr>
      <w:r>
        <w:rPr>
          <w:rFonts w:ascii="Times New Roman" w:hAnsi="Times New Roman"/>
          <w:sz w:val="20"/>
        </w:rPr>
        <w:t xml:space="preserve">A number of these requirements have required, and will continue to require, the Company to carry out activities that Legacy Teamshares had not previously undertaken. For example, the Company has created, and may continue to create, new board committees and adopted, and may from time to time enhance, new internal controls and disclosure controls and procedures. In addition, additional expenses associated with SEC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requirements have been, and will continue to be, incurred. Furthermore, if any issues in complying with those requirements are identified (for example, if the auditors identify material weaknesses in addition to those disclosed herein or a significant deficiency in internal control over financial reporting), the Company could incur additional costs rectifying those issues, and the existence of those issues could adversely affect the Company’s reputation or investor perceptions of it. It may also be more expensive to obtain director and officer liability insurance in such a situation. </w:t>
      </w:r>
    </w:p>
    <w:p>
      <w:pPr>
        <w:pStyle w:val="TextBody"/>
        <w:bidi w:val="0"/>
        <w:spacing w:before="240" w:after="0"/>
        <w:jc w:val="left"/>
        <w:rPr>
          <w:rFonts w:ascii="Times New Roman" w:hAnsi="Times New Roman"/>
          <w:sz w:val="20"/>
        </w:rPr>
      </w:pPr>
      <w:r>
        <w:rPr>
          <w:rFonts w:ascii="Times New Roman" w:hAnsi="Times New Roman"/>
          <w:sz w:val="20"/>
        </w:rPr>
        <w:t xml:space="preserve">Risks associated with the Company’s status as a public company may make it more difficult to attract and retain qualified persons to serve on its board of directors or as executive officers. The additional reporting and other obligations imposed by these rules and regulations have increased, and are expected to continue to increase, the Company’s legal and financial compliance costs and the costs of related legal, accounting and administrative activities. These increased costs require the Company to divert a significant amount of money that could otherwise be used to expand the business and achieve its strategic objectives. Advocacy efforts by stockholders and third parties may also prompt additional changes in governance and reporting requirements, which could further increase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benefits of the Business Combination do not meet the expectations of investors or securities analysts, the market price of our securities may decline. </w:t>
      </w:r>
    </w:p>
    <w:p>
      <w:pPr>
        <w:pStyle w:val="TextBody"/>
        <w:bidi w:val="0"/>
        <w:spacing w:before="120" w:after="0"/>
        <w:jc w:val="left"/>
        <w:rPr>
          <w:rFonts w:ascii="Times New Roman" w:hAnsi="Times New Roman"/>
          <w:sz w:val="20"/>
        </w:rPr>
      </w:pPr>
      <w:r>
        <w:rPr>
          <w:rFonts w:ascii="Times New Roman" w:hAnsi="Times New Roman"/>
          <w:sz w:val="20"/>
        </w:rPr>
        <w:t xml:space="preserve">If the benefits of the Business Combination do not meet the expectations of investors or securities analysts, the market price of our securities may decline. The market values of these securities at the time of the Business Combination could have varied significantly from their prices on the date the Merger Agreement was executed, the date of this prospectus, or the date on which Live Oak’s shareholders voted on the Business Combination. Because the number of shares issued pursuant to the Merger Agreement was based on the per share value of the amount in the Trust Account and was not adjusted to reflect any changes in the market price of Live Oak Class A Ordinary Shares, the market value of our shares of Common Stock and securities converted or exercised for shares of our Common Stock issued in the Business Combination could have been higher or lower than the values of these securities on earlier 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following the Business Combination, our shares of Common Stock do not have any redemption rights like the Live Oak’s public shares had and fluctuations in the price of shares of our Common Stock could contribute to the loss of all or part of your investment. The trading price of shares of our Common Stock following the Business Combination could be volatile and subject to wide fluctuations in response to various factors, some of which are beyond our control. Inflationary pressures, increases in interest rates and other adverse economic and market forces may contribute to potential downward pressures in market value of shares of Common Stock. Additionally, any of the risk factors discussed in this prospectus could have a material adverse effect on your investment and shares of Common Stock may trade at prices significantly below the price you paid for them. In such circumstances, the trading price of shares of Common Stock may not recover and may experience a further decline. </w:t>
      </w:r>
    </w:p>
    <w:p>
      <w:pPr>
        <w:pStyle w:val="TextBody"/>
        <w:bidi w:val="0"/>
        <w:spacing w:before="240" w:after="0"/>
        <w:jc w:val="left"/>
        <w:rPr>
          <w:rFonts w:ascii="Times New Roman" w:hAnsi="Times New Roman"/>
          <w:sz w:val="20"/>
        </w:rPr>
      </w:pPr>
      <w:r>
        <w:rPr>
          <w:rFonts w:ascii="Times New Roman" w:hAnsi="Times New Roman"/>
          <w:sz w:val="20"/>
        </w:rPr>
        <w:t xml:space="preserve">Broad market and industry factors may materially harm the market price of shares of Common Stock irrespective of our operating performance. The stock market in general, and Nasdaq specifically, has experienced extreme volatility that has often been unrelated to the operating performance of particular companies. As a result of this volatility, you may not be able to sell your securities at or above the price at which they were acquired. A loss of investor confidence in the market for the stocks of other companies which investors perceive to be similar to us could depress our share price regardless of our business, prospects, financial conditions or results of operations. A decline in the market price of our securities also could adversely affect our ability to issue additional securities and our ability to obtain additional financing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are subject to economic uncertainty and capital markets volatility, including as a result of changes in U.S. and foreign government policies, regulatory developments, trade restrictions, tariffs, inflation, interest rates, military conflicts and broader geopolitical instability, any of which could adversely affect our business, results of operations, financial condition and access to capital. </w:t>
      </w:r>
    </w:p>
    <w:p>
      <w:pPr>
        <w:pStyle w:val="TextBody"/>
        <w:bidi w:val="0"/>
        <w:spacing w:before="120" w:after="0"/>
        <w:jc w:val="left"/>
        <w:rPr>
          <w:rFonts w:ascii="Times New Roman" w:hAnsi="Times New Roman"/>
          <w:sz w:val="20"/>
        </w:rPr>
      </w:pPr>
      <w:r>
        <w:rPr>
          <w:rFonts w:ascii="Times New Roman" w:hAnsi="Times New Roman"/>
          <w:sz w:val="20"/>
        </w:rPr>
        <w:t xml:space="preserve">U.S. and global markets have recently been experiencing volatility and disruption caused by economic uncertainty, including as a result international trade disputes and ongoing military disputes and related geopolitical uncertainty. International trade disputes, including threatened or implemented tariffs by the Trump administration and threatened or implemented tariffs by foreign countries in retaliation, could adversely impact our business. Trade disputes could also adversely impact supply chains which could now or in the future increase costs for us or delay delivery of key inventories and supplies. Trade disputes can also be highly disruptive to global financial markets. The length and impact of the ongoing trade disputes and military conflicts are highly unpredictable. We are continuing to monitor the trade disputes, inflation, interest rates and the military conflicts and the impacts to global capital markets, to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Teamshares business and operations could be negatively affected if it becomes subject to any securities litigation or stockholder activism, which could cause Teamshares to incur significant expense, hinder execution of business and growth strategy and impact its stock price. </w:t>
      </w:r>
    </w:p>
    <w:p>
      <w:pPr>
        <w:pStyle w:val="TextBody"/>
        <w:bidi w:val="0"/>
        <w:spacing w:before="120" w:after="0"/>
        <w:jc w:val="left"/>
        <w:rPr>
          <w:rFonts w:ascii="Times New Roman" w:hAnsi="Times New Roman"/>
          <w:sz w:val="20"/>
        </w:rPr>
      </w:pPr>
      <w:r>
        <w:rPr>
          <w:rFonts w:ascii="Times New Roman" w:hAnsi="Times New Roman"/>
          <w:sz w:val="20"/>
        </w:rPr>
        <w:t xml:space="preserve">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the Combined Company Common Stock or other reasons may in the future cause it to become the target of securities litigation or stockholder activism. Securities litigation and stockholder activism, including potential proxy contests, could result in substantial costs and divert management’s and the Teamshares Board’s attention and resources from Teamshares’ business. Additionally, such securities litigation and stockholder activism could give rise to perceived uncertainties as to Teamshares’ future, adversely affect its relationships with service providers and make it more difficult to attract and retain qualified personnel. Also, Teamshares may be required to incur significant legal fees and other expenses related to any securities litigation and activist stockholder matters. Further, its stock price could be subject to significant fluctuation or otherwise be adversely affected by the events, risks and uncertainties of any securities litigation and stockholder activism.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currently intend to pay dividends on our Common Stock, and, consequently, your ability to achieve a return on your investment will depend on appreciation, if any, in the price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any cash dividend on its common stock. We currently anticipate that we will retain future earnings for the development, operation and expansion of the business and we do not anticipate declaring or paying any cash dividends for the foreseeable future. Any return to stockholders will therefore be limited to the appreciation of their stock. In addition, the terms of any equity or debt instruments that we may issue in the future could contain prohibitions or restrictions on our ability to pay dividends on our Common Stock. There is no guarantee that our Common Stock will appreciate in value or even maintain the price at which stockholders have purchased their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laws could have a material adverse effect on our business, cash flow, results of operations or financial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tax regimes we are subject to or operate under, including income and non-income taxes, are unsettled and may be subject to significant change. Changes in tax laws, regulations, or rulings, or changes in interpretations of existing laws and regulations, could materially affect our financial position and results of operations. For example, the 2017 Tax Cuts and Jobs Act, or Tax Act, made broad and complex changes to the U.S. tax code, including changes to U.S. federal tax rates, additional limitations on the deductibility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both positive and negative changes to the utilization of future NOL carryforwards, and allowing for the expensing of certain capital expenditures. The 2020 Coronavirus Aid, Relief, and Economic Security Act, or CARES Act, modified certain provisions of the Tax Act. In addition, on August 16, 2022, the Inflation Reduction Act of 2022, or IR Act, among other provisions, imposes a 15% minimum tax on the adjusted financial statement income of certain large corporations and a 1% excise tax on corporate stock repurchases by U.S. publicly traded corporations and certain U.S. subsidiaries of non-U.S. publicly traded corporations, as well as significant enhancements of U.S. tax incentives relating to climate and energy investments. Most recently, the “One Big Beautiful Bill Act” (the “</w:t>
      </w:r>
      <w:r>
        <w:rPr>
          <w:rFonts w:ascii="Times New Roman" w:hAnsi="Times New Roman"/>
          <w:b/>
          <w:sz w:val="20"/>
        </w:rPr>
        <w:t>OBBBA</w:t>
      </w:r>
      <w:r>
        <w:rPr>
          <w:rFonts w:ascii="Times New Roman" w:hAnsi="Times New Roman"/>
          <w:sz w:val="20"/>
        </w:rPr>
        <w:t xml:space="preserve">”), which was signed into law on July 4, 2025, made significant changes to federal tax law and other regulatory provisions, including, among others, permanently restoring an EBITDA-based business interest deduction limitation, permanently restoring 100% bonus depreciation for certain property, and permanently restoring immediate expensing for certain domestic research and experimental expenditures. The exact impact of the Tax Act, the CARES Act, the IR Act and the OBBBA for future years is difficult to quantify, but these changes could materially affect our effective tax rate in future periods, in addition to any changes made by new tax legislation. </w:t>
      </w:r>
    </w:p>
    <w:p>
      <w:pPr>
        <w:pStyle w:val="TextBody"/>
        <w:bidi w:val="0"/>
        <w:spacing w:before="240" w:after="0"/>
        <w:jc w:val="left"/>
        <w:rPr>
          <w:rFonts w:ascii="Times New Roman" w:hAnsi="Times New Roman"/>
          <w:sz w:val="20"/>
        </w:rPr>
      </w:pPr>
      <w:r>
        <w:rPr>
          <w:rFonts w:ascii="Times New Roman" w:hAnsi="Times New Roman"/>
          <w:sz w:val="20"/>
        </w:rPr>
        <w:t xml:space="preserve">As we expand the scale of our business activities, changes to the taxation of our activities could increase our overall effective tax rate, increase the amount of taxes imposed on our business, and harm our financial position. Such changes may also apply retroactively to our historical operations and result in taxes greater than the amounts estimated and recorded in our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within the meaning of the Securities Act, as modified by the JOBS Act. Accordingly,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nor an emerging growth company which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comply with applicable insurance and securities laws or regulatory requirements, our business, results of operations, financial condition or cash flow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As a publicly traded holding company listed on Nasdaq, we are subject to numerous laws and regulations. These laws and regulations delegate regulatory, supervisory and administrative powers to federal, provincial or state regulators. Any failure to comply with applicable laws or regulations or the mandates of applicable regulators could result in the imposition of fines or significant restrictions on our ability to do business, which could adversely affect our results of operations or financial condition. In addition, any changes in laws or regulations (or the interpretation or application thereof, including changes to applicable case law and legal precedent) could materially adversely affect our business, results of operations or financial condition. It is not possible to predict the future effect of changing federal, state and provincial law or regulation (or the interpretation or application thereof) on our operations, and there can be no assurance that laws and regulations enacted in the future will not be more restrictive than existing laws and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or otherwise responsible for a variety of litigation and other legal and regulatory proceedings in the course of our business that can adversely affect our business and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or otherwise responsible for a variety of litigation and other legal and regulatory proceedings in the course of our business (or related to the business operations of previously owned entities), including claims or counterclaims for damages arising out of the use of products or services and claims relating to intellectual property matters, employment matters, tax matters, commercial disputes, breach of contract claims, competition and sales and trading practices, environmental matters, personal injury, insurance coverage, securities matters, fiduciary duties and acquisition or divestiture-related matters, as well as regulatory subpoenas, requests for information, investigations and enforcement. We also from time to time become subject to lawsuits as a result of acquisitions or as a result of liabilities retained from, or representations, warranties or indemnities provided in connection with, businesses divested by us or our predecessors. The types of claims made in lawsuits include claims for compensatory damages, punitive and consequential damages (and in some cases, treble damages) and/or injunctive relief. The defense of these lawsuits can divert our management’s attention, we from time to time incur significant expenses in defending these lawsuits, and we can be required to pay damage awards or settlements or become subject to equitable remedies that adversely affect our business and financial statements. Moreover, any insurance or indemnification rights that we have may be insufficient or unavailable to protect us against such losses. Because most contingencies are resolved over long periods of time, new developments (including litigation developments, the discovery of new facts, changes in legislation and outcomes of similar cases), changes in assumptions or changes in the Company’s strategy in any given period can require us to adjust the loss contingency estimates that we have recorded in our financial statements, record estimates for liabilities or assets previously not susceptible of reasonable estimates or pay cash settlements or judgments. Any of these developments can adversely affect our business and financial statements in any particular period. There can be no assurance that our liabilities in connection with current and future litigation and other legal and regulatory proceedings will not exceed our estimates or adversely affect our financial statements and business. However, based on our experience, information and applicable law as of the date of this prospectus, we do not believe that it is reasonably possible that any amounts we may be required to pay in connection with litigation and other legal and regulatory proceedings in excess of our reserves as of March 31, 2026 will have a material effect on our business or financial statements. From time to time, we become aware through our internal audits and other internal control procedures, employees or other parties of possible compliance matters, such as complaints or concerns relating to accounting, internal controls, financial reporting, auditing or ethical matters or relating to compliance with laws. When we become aware of such possible compliance matters, we investigate internally and take what we believe to be appropriate corrective action. Internal investigations can lead to the assertion of claims or the commencement of legal or regulatory proceedings against us and adversely affect our business and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not have sufficient funds to satisfy indemnification claims of our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operational risks, including a failure, breach or other disruption of our operations or security systems or those of our third parties (or third parties thereof), as well as human error or malfeasance, which could adversely affect our businesses or reputation. </w:t>
      </w:r>
    </w:p>
    <w:p>
      <w:pPr>
        <w:pStyle w:val="TextBody"/>
        <w:bidi w:val="0"/>
        <w:spacing w:before="120" w:after="0"/>
        <w:jc w:val="left"/>
        <w:rPr>
          <w:rFonts w:ascii="Times New Roman" w:hAnsi="Times New Roman"/>
          <w:sz w:val="20"/>
        </w:rPr>
      </w:pPr>
      <w:r>
        <w:rPr>
          <w:rFonts w:ascii="Times New Roman" w:hAnsi="Times New Roman"/>
          <w:sz w:val="20"/>
        </w:rPr>
        <w:t xml:space="preserve">We depend on technology and automated systems to effectively operate our business. Any substantial, extended, or repeated failures of these systems could negatively affect our business, compromise the security of our information or other information stored on, transmitted by, or otherwise processed by these systems, result in the loss of or damage to important data, loss of revenue and increased costs, and generally harm our business. Additionally, loss of key talent required to maintain and advance these systems could have a material impact on our operations. Like other companies, our systems may be vulnerable to disruptions due to events beyond our control, including natural disasters, fire, power disruptions, software or equipment failures, terrorist attacks, cybersecurity incursions, computer viruses and hackers. There can be no assurance that the measures we have taken to reduce the adverse effects of certain potential failures or disruptions are adequate to prevent or remedy disruptions of our systems or prevent or mitigate all attacks. In addition, we will need to continuously make significant investments in technology to periodically upgrade and replace existing systems. If we are unable to make these investments or fail to successfully implement, upgrade or replace our systems, our operations and business could be adversely impacted. For example, in July 2024, certain businesses experienced disruptions related to a software update by a cybersecurity technology company. As of the date hereof, we have not experienced any significant impacts due to software updates, but we could in the future experience similar software-induced interruptions to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Uncertainties with respect to the development, deployment, and use of artificial intelligence in our business and products may result in harm to our business and reputation. </w:t>
      </w:r>
    </w:p>
    <w:p>
      <w:pPr>
        <w:pStyle w:val="TextBody"/>
        <w:bidi w:val="0"/>
        <w:spacing w:before="120" w:after="0"/>
        <w:jc w:val="left"/>
        <w:rPr>
          <w:rFonts w:ascii="Times New Roman" w:hAnsi="Times New Roman"/>
          <w:sz w:val="20"/>
        </w:rPr>
      </w:pPr>
      <w:r>
        <w:rPr>
          <w:rFonts w:ascii="Times New Roman" w:hAnsi="Times New Roman"/>
          <w:sz w:val="20"/>
        </w:rPr>
        <w:t xml:space="preserve">We are in the early stages of incorporating artificial intelligence (“AI”) into our business activities. As with many innovations, AI presents risks and challenges that could adversely impact our business. The development, adoption, and use of AI technologies are still in their early stages and ineffective or inadequate AI development or deployment practices could result in unintended consequences. For example, AI algorithms may be flawed or may be based on datasets that are biased or insufficient. In addition, any disruption or failure in the AI functionality we incorporate into our business activities, products or services could adversely impact our business or result in delays or errors in our offerings. Conversely, any failure to successfully develop and deploy AI in our business activities, products and services could adversely affect our competitiveness (particularly if our competitors successfully deploy AI in their businesses, products and services), and the development and deployment of AI will require additional investment and increase our costs. There also may be real or perceived social harm, unfairness, or other outcomes that undermine public confidence in the use and deployment of AI. Any of the foregoing may result in decreased demand for our products or harm to our business, financial statements or reputation. The legal and regulatory landscape surrounding AI technologies is rapidly evolving and uncertain, including in the areas of intellectual property, cybersecurity and privacy and data protection. Compliance with new or changing laws, regulations or industry standards relating to AI may impose significant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costs and may limit our ability to develop, deploy or use AI technologies. Failure to appropriately respond to this evolving landscape may result in legal liability, regulatory action, or brand and reputational harm.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face particular data protection and privacy risks in connection with the European Union’s General Data Protection Regulation, the California Consumer Privacy Act and other privacy laws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Data privacy laws continue to evolve in various jurisdictions, including the scope of consumer and commercial privacy protections. It is possible that data privacy laws, including those that may develop regarding new technologies such as AI, may be interpreted in various jurisdictions to apply to our business in the future. As our business grows, it is therefore possible that we will have a higher regulatory risk profile and increased costs as we seek to comply with new regulatory requirements related to the processing of personal and commercial data. As Teamshares and Teamshares Operating Subsidiaries grow, we may be subject to laws of various jurisdictions where we operate or do business related to solicitation, collection, processing, transferring, storing or use of consumer, customer, vendor, investor, employee or other stakeholder information and personal data, including but not limited to, the General Data Protection Regulation of the European Union, the California Consumer Privacy Act, and various other privacy laws and regulations. Teamshares and Teamshares Operating Subsidiaries may be subject to additional regulations, such as the European Union AI Act, that specifically affect the use of personal information in the context of AI systems. The changes introduced by these laws and regulations increase the complexity of regulations enacted to protect business and personal data, subject Teamshares and Teamshares Operating Subsidiaries to additional costs. These laws and regulations may grant, among other things, individual rights to access and delete personal information, and the right to opt out of the sale of personal information. These laws and regulations can also impose significant forfeitures and penalties for noncompliance and afford private rights of action to individuals under certain circumstances. Any failure to manage data privacy in compliance with applicable laws and regulations could result in significant regulatory investigations, fines, and sanctions, consumer and class action litigation, commercial litigation, prolonged negative publicity, data breaches, declining customer confidence, loss of key customers, employee liability, and other unfavorable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Climate change, or legal, regulatory or market measures to address climate change may materially adversely affect Teamshares’ financial condition and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Climate change resulting from increased concentrations of carbon dioxide and other greenhouse gases in the atmosphere could present risks to Teamshares and the Teamshares Operating Subsidiaries’ future operations from natural disasters and extreme weather conditions, such as hurricanes, tornadoes, earthquakes, wildfires or flooding. Such extreme weather conditions could pose physical risks to Teamshares’ and the Teamshares Operating Subsidiaries’ facilities and disrupt operation of Teamshares and the Teamshares Operating Subsidiaries’ supply chain and may impact operational costs. The impacts of climate change on global resources may result in scarcity, which could in the future impact Teamshares and the Teamshares Operating Subsidiaries’ ability to access sufficient equipment and materials in certain locations and result in increased costs. Concern over climate change could result in new legal or regulatory requirements designed to mitigate the effects of climate change on the environment. If such laws or regulations are more stringent than current legal or regulatory requirements, Teamshares and the Teamshares Operating Subsidiaries may experience increased compliance burdens and costs to meet the regulatory obligations and may adversely affect raw material sourcing, manufacturing operations and the distribution of Teamshares and the Teamshares Operating Subsidiaries’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Global pandemics, epidemics, outbreaks of infectious diseases or public health crises have disrupted our business and could have a material adverse effect on our business,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pandemics, epidemics, outbreaks of infectious diseases or public health crises across the globe have disrupted, and may in the future disrupt our business, which could materially and adversely affect our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condition, results of operations, cash flows and/or future expectations. Any health crisis may negatively affect worldwide economic and commercial activity, disrupt global supply chains and the labor market and create significant volatility and disruption of financial and commodity markets. The extent to which our business may in the future be affected by pandemics, infectious disease outbreaks and other public health crises depends on a number of factors outside of our control, including but not limited to the extent and duration of labor disruptions, business operations disruptions from quarantines, travel restrictions and other requirements imposed by regulators and health authorities, delays, modifications and terminations of contracts, supply chain disruptions, increased cybersecurity and data protection risks, increased costs of doing business and other macroeconomic disruptions.</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failure to timely and effectively implement controls and procedures required by Section 404(a) of the Sarbanes-Oxley Act that apply to us after the Business Combination is consummated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now required to provide management’s attestation on internal controls in accordance with the Sarbanes-Oxley Act. The standards required for a public company under Section 404(a) of the Sarbanes-Oxley Act are significantly more stringent than those required of Legacy Teamshares as a privately held company prior to the Business Combination. Management may not be able to effectively and timely implement controls and procedures that adequately respond to the increased regulatory compliance and reporting requirements that are applicable after the Business Combination. If we are not able to implement the additional requirements of Section 404(a) in a timely manner or with adequate compliance, we may not be able to assess whether our internal controls over financial reporting are effective, which may subject us to adverse regulatory consequences and could harm investor confidence and the market price of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58823_8"/>
      <w:bookmarkEnd w:id="1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of the shares of Common Stock or Warrants offered by the Selling Securityholders will be sold by them for their respective accounts. We will not receive any of the proceeds from these sales.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will pay any underwriting fees, discounts, selling commissions, stock transfer taxes, and certain legal expenses incurred by such Selling Securityholders in disposing of their shares of Common Stock,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 </w:t>
      </w:r>
    </w:p>
    <w:p>
      <w:pPr>
        <w:pStyle w:val="TextBody"/>
        <w:bidi w:val="0"/>
        <w:spacing w:before="240" w:after="0"/>
        <w:jc w:val="left"/>
        <w:rPr>
          <w:rFonts w:ascii="Times New Roman" w:hAnsi="Times New Roman"/>
          <w:sz w:val="20"/>
        </w:rPr>
      </w:pPr>
      <w:r>
        <w:rPr>
          <w:rFonts w:ascii="Times New Roman" w:hAnsi="Times New Roman"/>
          <w:sz w:val="20"/>
        </w:rPr>
        <w:t xml:space="preserve">We will receive any proceeds from the exercise of the Warrants for cash, but not from the resale of the shares of Common Stock issuable upon such exercise or exchange. We intend to use the proceeds received from the exercise of the warrants, if any, for general corporate purposes, which may include capital expenditures, potential acquisitions, growth opportunities and strategic transactions. However, we have not designated any specific uses and have no current agreement with respect to any acquisition or strategic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58823_9"/>
      <w:bookmarkEnd w:id="11"/>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not paid any cash dividends on our Common Stock and have no current plans to pay dividends on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declaration, amount, and payment of any future dividends on shares of Common Stock is at the sole discretion of our Board, and we may reduce or discontinue entirely the payment of such dividends at any time. Our Board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may deem relevant. </w:t>
      </w:r>
    </w:p>
    <w:p>
      <w:pPr>
        <w:pStyle w:val="TextBody"/>
        <w:bidi w:val="0"/>
        <w:spacing w:before="240" w:after="0"/>
        <w:jc w:val="left"/>
        <w:rPr>
          <w:rFonts w:ascii="Times New Roman" w:hAnsi="Times New Roman"/>
          <w:sz w:val="20"/>
        </w:rPr>
      </w:pPr>
      <w:r>
        <w:rPr>
          <w:rFonts w:ascii="Times New Roman" w:hAnsi="Times New Roman"/>
          <w:sz w:val="20"/>
        </w:rPr>
        <w:t xml:space="preserve">We are a holding company and have no material assets other than our ownership of equity interests of Teamshares. As the sole stockholder of Teamshares, we have broad discretion to make distributions out of Teamshares. In the event we declare any cash dividend, we expect that we, as the sole stockholder of Teamshares, would cause Teamshares to make distributions to us in an amount sufficient to cover such cash dividends declared by us. </w:t>
      </w:r>
    </w:p>
    <w:p>
      <w:pPr>
        <w:pStyle w:val="TextBody"/>
        <w:bidi w:val="0"/>
        <w:spacing w:before="240" w:after="0"/>
        <w:jc w:val="left"/>
        <w:rPr>
          <w:rFonts w:ascii="Times New Roman" w:hAnsi="Times New Roman"/>
          <w:sz w:val="20"/>
        </w:rPr>
      </w:pPr>
      <w:r>
        <w:rPr>
          <w:rFonts w:ascii="Times New Roman" w:hAnsi="Times New Roman"/>
          <w:sz w:val="20"/>
        </w:rPr>
        <w:t xml:space="preserve">Any financing arrangements that we enter into in the future may include restrictive covenants that limit our ability to pay dividends. In addition, Teamshares is generally prohibited under Delaware law from making a distribution to a stockholder to the extent that, at the time of the distribution, after giving effect to the distribution, liabilities of Teamshares (with certain exceptions) exceed the fair value of its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58823_10"/>
      <w:bookmarkEnd w:id="12"/>
      <w:r>
        <w:rPr>
          <w:rFonts w:ascii="Times New Roman" w:hAnsi="Times New Roman"/>
          <w:b/>
          <w:sz w:val="20"/>
        </w:rPr>
        <w:t xml:space="preserve">UNAUDITED PRO FORMA CONDENSED CONSOLIDATED FINANCIAL INFORMATION </w:t>
      </w:r>
    </w:p>
    <w:p>
      <w:pPr>
        <w:pStyle w:val="TextBody"/>
        <w:bidi w:val="0"/>
        <w:spacing w:before="240" w:after="0"/>
        <w:jc w:val="left"/>
        <w:rPr>
          <w:rFonts w:ascii="Times New Roman" w:hAnsi="Times New Roman"/>
          <w:i/>
          <w:sz w:val="20"/>
        </w:rPr>
      </w:pPr>
      <w:r>
        <w:rPr>
          <w:rFonts w:ascii="Times New Roman" w:hAnsi="Times New Roman"/>
          <w:i/>
          <w:sz w:val="20"/>
        </w:rPr>
        <w:t xml:space="preserve">For purposes solely of this “Unaudited Pro Forma Condensed Combined Financial Information” section, the term “Management” refers to Legacy Teamshares management prior to the Closing and management of the Company after the Closing. Unless the context otherwise requires, all references in this section to “we”, “us”, “our”, “Teamshares”, or the “Company” refer to Teamshares, Inc. and its subsidiaries prior to the consummation of the Business Combination and after the consummation of the Business Combination, Teamshares Inc.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The unaudited pro forma condensed combined financial information presents the combination of the historical financial statements of Live Oak and Teamshares, adjusted to implement the Business Combination and certain transactions contemplated in connection with the Business Combination (collectively, the “</w:t>
      </w:r>
      <w:r>
        <w:rPr>
          <w:rFonts w:ascii="Times New Roman" w:hAnsi="Times New Roman"/>
          <w:b/>
          <w:sz w:val="20"/>
        </w:rPr>
        <w:t>Transactions</w:t>
      </w:r>
      <w:r>
        <w:rPr>
          <w:rFonts w:ascii="Times New Roman" w:hAnsi="Times New Roman"/>
          <w:sz w:val="20"/>
        </w:rPr>
        <w:t>”). The unaudited pro forma condensed combined financial information has been prepared in accordance with Article 11 of Regulation S-X. Capitalized terms used but not otherwise defined herein shall have the meanings ascribed to such terms in the definitive proxy statement and final prospectus, dated May 27, 2026 (the “</w:t>
      </w:r>
      <w:r>
        <w:rPr>
          <w:rFonts w:ascii="Times New Roman" w:hAnsi="Times New Roman"/>
          <w:b/>
          <w:sz w:val="20"/>
        </w:rPr>
        <w:t>Proxy Statement/Prospectus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as of March 31, 2026 combines the historical balance sheet of Live Oak as of March 31, 2026 with the historical balance sheet of Teamshares as of March 31, 2026 on a pro forma basis as if the Business Combination had been consummated on March 31,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 of operations for the three months ended March 31, 2026 combines the historical statement of operations of Live Oak for the three months ended March 31, 2026 and the historical statement of operations of Teamshares for the three months ended March 31, 2026. The unaudited pro forma condensed combined statement of operations for the year ended December 31, 2025 combines the historical statement of operations of Live Oak for the year ended December 31, 2025 and the historical statement of operations of Teamshares for the year ended December 31, 2025 on a pro forma basis, giving effect to the Business Combination and related transactions as if they had been consummated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was derived from and should be read in conjunction with the following historical financial statements and the accompanying notes, which are included elsewhere in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accompanying notes to the unaudited pro forma condensed combined financial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interim condensed financial statements of Live Oak as of March 31, 2026 and for the three months ended March 31, 2026, and the historical audited financial statements of Live Oak as of and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interim condensed consolidated financial statements of Teamshares as of March 31, 2026 and for the three months ended March 31, 2026, and the historical audited financial statements of Teamshares as of and for the year ended December 31,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other information relating to Teamshares and Live Oak included in this Prospectus and the Proxy Statement/Prospectus, including the description of the Merger Agreement and the transactions contemplated in the section titled “</w:t>
            </w:r>
            <w:r>
              <w:rPr>
                <w:rFonts w:ascii="Times New Roman" w:hAnsi="Times New Roman"/>
                <w:i/>
                <w:sz w:val="20"/>
              </w:rPr>
              <w:t>The Business Combination Proposal</w:t>
            </w:r>
            <w:r>
              <w:rPr>
                <w:rFonts w:ascii="Times New Roman" w:hAnsi="Times New Roman"/>
                <w:sz w:val="20"/>
              </w:rPr>
              <w:t xml:space="preserve">” in the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The unaudited pro forma condensed combined financial information should also be read together with “</w:t>
      </w:r>
      <w:r>
        <w:rPr>
          <w:rFonts w:ascii="Times New Roman" w:hAnsi="Times New Roman"/>
          <w:i/>
          <w:sz w:val="20"/>
        </w:rPr>
        <w:t>Management’s Discussion and Analysis of Financial Condition and Results of Operations</w:t>
      </w:r>
      <w:r>
        <w:rPr>
          <w:rFonts w:ascii="Times New Roman" w:hAnsi="Times New Roman"/>
          <w:sz w:val="20"/>
        </w:rPr>
        <w:t xml:space="preserve">” included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statements have been presented for illustrative purposes only and do not necessarily reflect what Teamshares’ financial condition or results of operations would have been had the Business Combination been consummated on the dates indicated. The unaudited pro forma condensed combined financial information also may not be useful in predicting the future financial condition and results of operations of New Teamshares. The unaudited pro forma condensed combined financial statements include certain assumptions, which may ultimately not come to fruition. The actual financial position and results of operations may differ significantly from the pro forma amounts reflected herein due to a variety of factors. The unaudited pro forma adjustments and the assumptions included in these unaudited pro forma condensed combined financial statements represent management’s estimates based on information available as of the date of these unaudited pro forma condensed combined financial statements and are subject to change as additional information becomes available and analyses are performed.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describes the above entities: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Live Oak </w:t>
      </w:r>
    </w:p>
    <w:p>
      <w:pPr>
        <w:pStyle w:val="TextBody"/>
        <w:bidi w:val="0"/>
        <w:spacing w:before="120" w:after="0"/>
        <w:jc w:val="left"/>
        <w:rPr>
          <w:rFonts w:ascii="Times New Roman" w:hAnsi="Times New Roman"/>
          <w:sz w:val="20"/>
        </w:rPr>
      </w:pPr>
      <w:r>
        <w:rPr>
          <w:rFonts w:ascii="Times New Roman" w:hAnsi="Times New Roman"/>
          <w:sz w:val="20"/>
        </w:rPr>
        <w:t xml:space="preserve">Live Oak is a special purpose acquisition company incorporated as an exempted company under the laws of the Cayman Islands on November 27, 2024, for the purpose of effecting a merger, amalgamation, share exchange, asset acquisition, share purchase, reorganization or similar business combination with one or more businesses. Live Oak has neither engaged in any operations nor generated any revenue to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Teamshares </w:t>
      </w:r>
    </w:p>
    <w:p>
      <w:pPr>
        <w:pStyle w:val="TextBody"/>
        <w:bidi w:val="0"/>
        <w:spacing w:before="120" w:after="0"/>
        <w:jc w:val="left"/>
        <w:rPr>
          <w:rFonts w:ascii="Times New Roman" w:hAnsi="Times New Roman"/>
          <w:sz w:val="20"/>
        </w:rPr>
      </w:pPr>
      <w:r>
        <w:rPr>
          <w:rFonts w:ascii="Times New Roman" w:hAnsi="Times New Roman"/>
          <w:sz w:val="20"/>
        </w:rPr>
        <w:t xml:space="preserve">Teamshares Inc. is a Delaware corporation formed on June 28, 2019. Teamshares is a tech-enabled acquiror of small-to-medium sized businesses, which become Operating Subsidiaries of Teamshares upon acquisition. Teamshares was formed to create a platform to programmatically acquire companies from retiring owners, integrate them with the Teamshares platform, and help employees earn company stock.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Transactions </w:t>
      </w:r>
    </w:p>
    <w:p>
      <w:pPr>
        <w:pStyle w:val="TextBody"/>
        <w:bidi w:val="0"/>
        <w:spacing w:before="120" w:after="0"/>
        <w:jc w:val="left"/>
        <w:rPr>
          <w:rFonts w:ascii="Times New Roman" w:hAnsi="Times New Roman"/>
          <w:sz w:val="20"/>
        </w:rPr>
      </w:pPr>
      <w:r>
        <w:rPr>
          <w:rFonts w:ascii="Times New Roman" w:hAnsi="Times New Roman"/>
          <w:sz w:val="20"/>
        </w:rPr>
        <w:t>On November 14, 2025, Live Oak, Merger Sub, Merger Sub II and Teamshares entered into the Original Merger Agreement. On April 1, 2026, the parties entered into the First Amendment to the Original Merger Agreement (the “</w:t>
      </w:r>
      <w:r>
        <w:rPr>
          <w:rFonts w:ascii="Times New Roman" w:hAnsi="Times New Roman"/>
          <w:b/>
          <w:sz w:val="20"/>
        </w:rPr>
        <w:t>First MA Amendment</w:t>
      </w:r>
      <w:r>
        <w:rPr>
          <w:rFonts w:ascii="Times New Roman" w:hAnsi="Times New Roman"/>
          <w:sz w:val="20"/>
        </w:rPr>
        <w:t>”) and on May 13, 2026 the parties entered into the Second Amendment to the Original Merger Agreement (the “</w:t>
      </w:r>
      <w:r>
        <w:rPr>
          <w:rFonts w:ascii="Times New Roman" w:hAnsi="Times New Roman"/>
          <w:b/>
          <w:sz w:val="20"/>
        </w:rPr>
        <w:t>Second MA Amendment</w:t>
      </w:r>
      <w:r>
        <w:rPr>
          <w:rFonts w:ascii="Times New Roman" w:hAnsi="Times New Roman"/>
          <w:sz w:val="20"/>
        </w:rPr>
        <w:t>” and, collectively with the Original Merger Agreement and the First MA Amendment, the “</w:t>
      </w:r>
      <w:r>
        <w:rPr>
          <w:rFonts w:ascii="Times New Roman" w:hAnsi="Times New Roman"/>
          <w:b/>
          <w:sz w:val="20"/>
        </w:rPr>
        <w:t>Merger Agreement</w:t>
      </w:r>
      <w:r>
        <w:rPr>
          <w:rFonts w:ascii="Times New Roman" w:hAnsi="Times New Roman"/>
          <w:sz w:val="20"/>
        </w:rPr>
        <w:t>”). On June 16, 2026, the Business Combination was approved by a Live Oak shareholder vote. The Business Combination was completed on June 18, 2026 (the “</w:t>
      </w:r>
      <w:r>
        <w:rPr>
          <w:rFonts w:ascii="Times New Roman" w:hAnsi="Times New Roman"/>
          <w:b/>
          <w:sz w:val="20"/>
        </w:rPr>
        <w:t>Closing</w:t>
      </w:r>
      <w:r>
        <w:rPr>
          <w:rFonts w:ascii="Times New Roman" w:hAnsi="Times New Roman"/>
          <w:sz w:val="20"/>
        </w:rPr>
        <w:t xml:space="preserve">”). Following the Closing, New Teamshares is the publicly traded parent company, and its common stock and warrants are listed on Nasdaq under the ticker symbol “TMS” and “TMSWW”, respectively. As a result of the Business Combination, and upon the Closing, pursuant to the Merger Agreement,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issued and outstanding capital stock of the Company as of immediately prior to the First Effective Time were automatically cancelled in exchange for the right for each Company Stockholder to receive its Pro Rata Share of the Stockholder Merger Consideration (after giving effect to Liquidation Preference Elections and, thereafter, giving effect to the Company Preferred Stock Exchange or otherwise treating shares of Company Preferred Stock on an as-converted to Company Common Stock basis, but excluding Company Treasury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 Options outstanding and in-the-money (as defined in the Merger Agreement) as of immediately prior to the First Effective Time were assumed by Live Oak and replaced with options exercisable for shares of Common Stock, subject to adjustments to the exercise prices and number of underlying shares, in each case in accordance with the terms of the Merger Agreement;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Earnout Participants, as defined in the Merger Agreement, have a contingent right to receive certain Earnout Shares, subject to satisfaction of relevant conditions, if any such Earnout Shares are issued during the Earnout Period in accordance with the terms and subject to the conditions set forth in the Merger Agreement.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Earnout Shares </w:t>
      </w:r>
    </w:p>
    <w:p>
      <w:pPr>
        <w:pStyle w:val="TextBody"/>
        <w:bidi w:val="0"/>
        <w:spacing w:before="120" w:after="0"/>
        <w:jc w:val="left"/>
        <w:rPr>
          <w:rFonts w:ascii="Times New Roman" w:hAnsi="Times New Roman"/>
          <w:sz w:val="20"/>
        </w:rPr>
      </w:pPr>
      <w:r>
        <w:rPr>
          <w:rFonts w:ascii="Times New Roman" w:hAnsi="Times New Roman"/>
          <w:sz w:val="20"/>
        </w:rPr>
        <w:t>The Merger Agreement provides that, following the Closing, eligible Earnout Participants (comprised of former Teamshares Stockholders (excluding any Liquidation Preference Electing Holders relative to Liquidation Preference Shares) and Company Optionholders who satisfy the Eligibility Conditions as of immediately prior to an Earnout Trigger Date, as further described below, may have the contingent right to receive up to an additional 6,000,000 shares of Common Stock (the “</w:t>
      </w:r>
      <w:r>
        <w:rPr>
          <w:rFonts w:ascii="Times New Roman" w:hAnsi="Times New Roman"/>
          <w:b/>
          <w:sz w:val="20"/>
        </w:rPr>
        <w:t>Earnout Shares</w:t>
      </w:r>
      <w:r>
        <w:rPr>
          <w:rFonts w:ascii="Times New Roman" w:hAnsi="Times New Roman"/>
          <w:sz w:val="20"/>
        </w:rPr>
        <w:t>”) in the event that, during the post-Closing period ending on the fifth anniversary of the Closing Date (the “</w:t>
      </w:r>
      <w:r>
        <w:rPr>
          <w:rFonts w:ascii="Times New Roman" w:hAnsi="Times New Roman"/>
          <w:b/>
          <w:sz w:val="20"/>
        </w:rPr>
        <w:t>Earnout Period</w:t>
      </w:r>
      <w:r>
        <w:rPr>
          <w:rFonts w:ascii="Times New Roman" w:hAnsi="Times New Roman"/>
          <w:sz w:val="20"/>
        </w:rPr>
        <w:t>”), the volume weighted average trading prices (“</w:t>
      </w:r>
      <w:r>
        <w:rPr>
          <w:rFonts w:ascii="Times New Roman" w:hAnsi="Times New Roman"/>
          <w:b/>
          <w:sz w:val="20"/>
        </w:rPr>
        <w:t>VWAP</w:t>
      </w:r>
      <w:r>
        <w:rPr>
          <w:rFonts w:ascii="Times New Roman" w:hAnsi="Times New Roman"/>
          <w:sz w:val="20"/>
        </w:rPr>
        <w:t>”) of shares of Common Stock meets or exceeds certain trading-price based “Trigger Events” or upon the occurrence of a “</w:t>
      </w:r>
      <w:r>
        <w:rPr>
          <w:rFonts w:ascii="Times New Roman" w:hAnsi="Times New Roman"/>
          <w:b/>
          <w:sz w:val="20"/>
        </w:rPr>
        <w:t>Qualifying Change of Control</w:t>
      </w:r>
      <w:r>
        <w:rPr>
          <w:rFonts w:ascii="Times New Roman" w:hAnsi="Times New Roman"/>
          <w:sz w:val="20"/>
        </w:rPr>
        <w:t>” Transaction (defined under the Merger Agreement as change of control transaction in which the implied price per share of Common Stock equals or exceeds $12.00 per share) (the occurrence of any of the foregoing trading-price based trigger events or a Qualifying Change of Control, a “</w:t>
      </w:r>
      <w:r>
        <w:rPr>
          <w:rFonts w:ascii="Times New Roman" w:hAnsi="Times New Roman"/>
          <w:b/>
          <w:sz w:val="20"/>
        </w:rPr>
        <w:t>Triggering Event</w:t>
      </w:r>
      <w:r>
        <w:rPr>
          <w:rFonts w:ascii="Times New Roman" w:hAnsi="Times New Roman"/>
          <w:sz w:val="20"/>
        </w:rPr>
        <w:t>”). Earnout Participants include Teamshares Stockholders as of immediately prior to the First Effective Time (excluding Liquidation Preference Electing Holders relative to Liquidation Preference Shares) and “</w:t>
      </w:r>
      <w:r>
        <w:rPr>
          <w:rFonts w:ascii="Times New Roman" w:hAnsi="Times New Roman"/>
          <w:b/>
          <w:sz w:val="20"/>
        </w:rPr>
        <w:t>Eligible Optionholders</w:t>
      </w:r>
      <w:r>
        <w:rPr>
          <w:rFonts w:ascii="Times New Roman" w:hAnsi="Times New Roman"/>
          <w:sz w:val="20"/>
        </w:rPr>
        <w:t>,” which are holders of Assumed Options who (i) were employed by, or in service with, Teamshares or its subsidiaries as of immediately following the First Effective Time, and (ii) remain continuously employed by, or in service with, New Teamshares or its subsidiaries from the Closing Date until immediately prior to an applicable Triggering Event (the “</w:t>
      </w:r>
      <w:r>
        <w:rPr>
          <w:rFonts w:ascii="Times New Roman" w:hAnsi="Times New Roman"/>
          <w:b/>
          <w:sz w:val="20"/>
        </w:rPr>
        <w:t>Eligibility Condition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During the Earnout Period, Earnout Participants may receive their respective Earnout Pro Rata Share of an aggregate of up to 6,000,000 Earnout Shares, in the event that the following conditions are satisfied during the Earnout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VWAP of the Common Stock equals or exceeds the Earnout Tier I Share Price Target for any twenty (20) Trading Days within any consecutive thirty (30) Trading Day period commencing at least 150 days after the Closing Date but prior to the expiration of the Earnout Period, then, subject to the terms and conditions of the Merger Agreement, the Earnout Participants shall be entitled to receive Two Million (2,000,000) Earnout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VWAP of the Common Stock equals or exceeds the Earnout Tier II Share Price Target for any twenty (20) Trading Days within any consecutive thirty (30) Trading Day period commencing at least 150 days after the Closing Date but prior to the expiration of the Earnout Period, then, subject to the terms and conditions of the Merger Agreement, the Earnout Participants shall be entitled to receive Two Million (2,000,000) Earnout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VWAP of Common Stock equals or exceeds the Earnout Tier III Share Price Target for any twenty (20) Trading Days within any consecutive thirty (30) Trading Day period commencing at least 150 days after the Closing Date but prior to the expiration of the Earnout Period, then, subject to the terms and conditions of the Merger Agreement, the Earnout Participants shall be entitled to receive Two Million (2,000,000) Earnout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above is further summarized in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54"/>
        <w:gridCol w:w="200"/>
        <w:gridCol w:w="169"/>
        <w:gridCol w:w="1883"/>
        <w:gridCol w:w="60"/>
        <w:gridCol w:w="200"/>
        <w:gridCol w:w="3383"/>
        <w:gridCol w:w="200"/>
        <w:gridCol w:w="93"/>
        <w:gridCol w:w="1597"/>
        <w:gridCol w:w="66"/>
      </w:tblGrid>
      <w:tr>
        <w:trPr/>
        <w:tc>
          <w:tcPr>
            <w:tcW w:w="2354"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3383"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35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Earnout Tier</w:t>
            </w:r>
          </w:p>
        </w:tc>
        <w:tc>
          <w:tcPr>
            <w:tcW w:w="200" w:type="dxa"/>
            <w:tcBorders/>
            <w:vAlign w:val="bottom"/>
          </w:tcPr>
          <w:p>
            <w:pPr>
              <w:pStyle w:val="TableContents"/>
              <w:bidi w:val="0"/>
              <w:spacing w:before="0" w:after="283"/>
              <w:jc w:val="left"/>
              <w:rPr/>
            </w:pPr>
            <w:r>
              <w:rPr/>
              <w:t>  </w:t>
            </w:r>
          </w:p>
        </w:tc>
        <w:tc>
          <w:tcPr>
            <w:tcW w:w="20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 Price Target</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338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VWAP Condition</w:t>
            </w:r>
          </w:p>
        </w:tc>
        <w:tc>
          <w:tcPr>
            <w:tcW w:w="200" w:type="dxa"/>
            <w:tcBorders/>
            <w:vAlign w:val="bottom"/>
          </w:tcPr>
          <w:p>
            <w:pPr>
              <w:pStyle w:val="TableContents"/>
              <w:bidi w:val="0"/>
              <w:spacing w:before="0" w:after="283"/>
              <w:jc w:val="left"/>
              <w:rPr/>
            </w:pPr>
            <w:r>
              <w:rPr/>
              <w:t>  </w:t>
            </w:r>
          </w:p>
        </w:tc>
        <w:tc>
          <w:tcPr>
            <w:tcW w:w="16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Earnout Shares</w:t>
            </w:r>
          </w:p>
        </w:tc>
        <w:tc>
          <w:tcPr>
            <w:tcW w:w="66" w:type="dxa"/>
            <w:tcBorders/>
            <w:vAlign w:val="bottom"/>
          </w:tcPr>
          <w:p>
            <w:pPr>
              <w:pStyle w:val="TableContents"/>
              <w:bidi w:val="0"/>
              <w:spacing w:before="0" w:after="283"/>
              <w:jc w:val="left"/>
              <w:rPr/>
            </w:pPr>
            <w:r>
              <w:rPr/>
              <w:t> </w:t>
            </w:r>
          </w:p>
        </w:tc>
      </w:tr>
      <w:tr>
        <w:trPr/>
        <w:tc>
          <w:tcPr>
            <w:tcW w:w="23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Tier I</w:t>
            </w:r>
          </w:p>
        </w:tc>
        <w:tc>
          <w:tcPr>
            <w:tcW w:w="200" w:type="dxa"/>
            <w:tcBorders/>
            <w:shd w:fill="CCEEFF" w:val="clear"/>
            <w:vAlign w:val="bottom"/>
          </w:tcPr>
          <w:p>
            <w:pPr>
              <w:pStyle w:val="TableContents"/>
              <w:bidi w:val="0"/>
              <w:spacing w:before="0" w:after="283"/>
              <w:jc w:val="left"/>
              <w:rPr/>
            </w:pPr>
            <w:r>
              <w:rPr/>
              <w:t>  </w:t>
            </w:r>
          </w:p>
        </w:tc>
        <w:tc>
          <w:tcPr>
            <w:tcW w:w="169" w:type="dxa"/>
            <w:tcBorders/>
            <w:shd w:fill="CCEEFF" w:val="clear"/>
          </w:tcPr>
          <w:p>
            <w:pPr>
              <w:pStyle w:val="TableContents"/>
              <w:bidi w:val="0"/>
              <w:spacing w:before="0" w:after="283"/>
              <w:jc w:val="left"/>
              <w:rPr/>
            </w:pPr>
            <w:r>
              <w:rPr/>
              <w:t>$</w:t>
            </w:r>
          </w:p>
        </w:tc>
        <w:tc>
          <w:tcPr>
            <w:tcW w:w="1883" w:type="dxa"/>
            <w:tcBorders/>
            <w:shd w:fill="CCEEFF" w:val="clear"/>
          </w:tcPr>
          <w:p>
            <w:pPr>
              <w:pStyle w:val="TableContents"/>
              <w:bidi w:val="0"/>
              <w:spacing w:before="0" w:after="283"/>
              <w:jc w:val="right"/>
              <w:rPr/>
            </w:pPr>
            <w:r>
              <w:rPr/>
              <w:t>12.00 per share</w:t>
            </w:r>
          </w:p>
        </w:tc>
        <w:tc>
          <w:tcPr>
            <w:tcW w:w="60" w:type="dxa"/>
            <w:tcBorders/>
            <w:shd w:fill="CCEEFF" w:val="clear"/>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3383" w:type="dxa"/>
            <w:tcBorders/>
            <w:shd w:fill="CCEEFF" w:val="clear"/>
          </w:tcPr>
          <w:p>
            <w:pPr>
              <w:pStyle w:val="TableContents"/>
              <w:bidi w:val="0"/>
              <w:spacing w:before="0" w:after="283"/>
              <w:jc w:val="center"/>
              <w:rPr/>
            </w:pPr>
            <w:r>
              <w:rPr/>
              <w:t>VWAP ≥ $12.00 for 20 out of 30 consecutive Trading Days (commencing at least 150 days after Closing but prior to the end of the Earnout Period)</w:t>
            </w:r>
          </w:p>
        </w:tc>
        <w:tc>
          <w:tcPr>
            <w:tcW w:w="200"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1597" w:type="dxa"/>
            <w:tcBorders/>
            <w:shd w:fill="CCEEFF" w:val="clear"/>
          </w:tcPr>
          <w:p>
            <w:pPr>
              <w:pStyle w:val="TableContents"/>
              <w:bidi w:val="0"/>
              <w:spacing w:before="0" w:after="283"/>
              <w:jc w:val="right"/>
              <w:rPr/>
            </w:pPr>
            <w:r>
              <w:rPr/>
              <w:t>2,000,000</w:t>
            </w:r>
          </w:p>
        </w:tc>
        <w:tc>
          <w:tcPr>
            <w:tcW w:w="66" w:type="dxa"/>
            <w:tcBorders/>
            <w:shd w:fill="CCEEFF" w:val="clear"/>
          </w:tcPr>
          <w:p>
            <w:pPr>
              <w:pStyle w:val="TableContents"/>
              <w:bidi w:val="0"/>
              <w:spacing w:before="0" w:after="283"/>
              <w:jc w:val="left"/>
              <w:rPr/>
            </w:pPr>
            <w:r>
              <w:rPr/>
              <w:t> </w:t>
            </w:r>
          </w:p>
        </w:tc>
      </w:tr>
      <w:tr>
        <w:trPr>
          <w:trHeight w:val="120" w:hRule="atLeast"/>
        </w:trPr>
        <w:tc>
          <w:tcPr>
            <w:tcW w:w="2354" w:type="dxa"/>
            <w:tcBorders/>
            <w:vAlign w:val="center"/>
          </w:tcPr>
          <w:p>
            <w:pPr>
              <w:pStyle w:val="TableContents"/>
              <w:bidi w:val="0"/>
              <w:spacing w:before="0" w:after="283"/>
              <w:jc w:val="left"/>
              <w:rPr>
                <w:sz w:val="4"/>
                <w:szCs w:val="4"/>
              </w:rPr>
            </w:pPr>
            <w:r>
              <w:rPr>
                <w:sz w:val="4"/>
                <w:szCs w:val="4"/>
              </w:rPr>
            </w:r>
          </w:p>
        </w:tc>
        <w:tc>
          <w:tcPr>
            <w:tcW w:w="2312" w:type="dxa"/>
            <w:gridSpan w:val="4"/>
            <w:tcBorders/>
            <w:vAlign w:val="center"/>
          </w:tcPr>
          <w:p>
            <w:pPr>
              <w:pStyle w:val="TableContents"/>
              <w:bidi w:val="0"/>
              <w:spacing w:before="0" w:after="283"/>
              <w:jc w:val="left"/>
              <w:rPr>
                <w:sz w:val="4"/>
                <w:szCs w:val="4"/>
              </w:rPr>
            </w:pPr>
            <w:r>
              <w:rPr>
                <w:sz w:val="4"/>
                <w:szCs w:val="4"/>
              </w:rPr>
            </w:r>
          </w:p>
        </w:tc>
        <w:tc>
          <w:tcPr>
            <w:tcW w:w="3583" w:type="dxa"/>
            <w:gridSpan w:val="2"/>
            <w:tcBorders/>
            <w:vAlign w:val="center"/>
          </w:tcPr>
          <w:p>
            <w:pPr>
              <w:pStyle w:val="TableContents"/>
              <w:bidi w:val="0"/>
              <w:spacing w:before="0" w:after="283"/>
              <w:jc w:val="left"/>
              <w:rPr>
                <w:sz w:val="4"/>
                <w:szCs w:val="4"/>
              </w:rPr>
            </w:pPr>
            <w:r>
              <w:rPr>
                <w:sz w:val="4"/>
                <w:szCs w:val="4"/>
              </w:rPr>
            </w:r>
          </w:p>
        </w:tc>
        <w:tc>
          <w:tcPr>
            <w:tcW w:w="1956" w:type="dxa"/>
            <w:gridSpan w:val="4"/>
            <w:tcBorders/>
            <w:vAlign w:val="center"/>
          </w:tcPr>
          <w:p>
            <w:pPr>
              <w:pStyle w:val="TableContents"/>
              <w:bidi w:val="0"/>
              <w:spacing w:before="0" w:after="283"/>
              <w:jc w:val="left"/>
              <w:rPr>
                <w:sz w:val="4"/>
                <w:szCs w:val="4"/>
              </w:rPr>
            </w:pPr>
            <w:r>
              <w:rPr>
                <w:sz w:val="4"/>
                <w:szCs w:val="4"/>
              </w:rPr>
            </w:r>
          </w:p>
        </w:tc>
      </w:tr>
      <w:tr>
        <w:trPr/>
        <w:tc>
          <w:tcPr>
            <w:tcW w:w="2354" w:type="dxa"/>
            <w:tcBorders/>
          </w:tcPr>
          <w:p>
            <w:pPr>
              <w:pStyle w:val="TableContents"/>
              <w:bidi w:val="0"/>
              <w:spacing w:before="0" w:after="0"/>
              <w:jc w:val="left"/>
              <w:rPr>
                <w:rFonts w:ascii="Times New Roman" w:hAnsi="Times New Roman"/>
                <w:sz w:val="20"/>
              </w:rPr>
            </w:pPr>
            <w:r>
              <w:rPr>
                <w:rFonts w:ascii="Times New Roman" w:hAnsi="Times New Roman"/>
                <w:sz w:val="20"/>
              </w:rPr>
              <w:t>Tier II</w:t>
            </w:r>
          </w:p>
        </w:tc>
        <w:tc>
          <w:tcPr>
            <w:tcW w:w="200" w:type="dxa"/>
            <w:tcBorders/>
            <w:vAlign w:val="bottom"/>
          </w:tcPr>
          <w:p>
            <w:pPr>
              <w:pStyle w:val="TableContents"/>
              <w:bidi w:val="0"/>
              <w:spacing w:before="0" w:after="283"/>
              <w:jc w:val="left"/>
              <w:rPr/>
            </w:pPr>
            <w:r>
              <w:rPr/>
              <w:t>  </w:t>
            </w:r>
          </w:p>
        </w:tc>
        <w:tc>
          <w:tcPr>
            <w:tcW w:w="169" w:type="dxa"/>
            <w:tcBorders/>
          </w:tcPr>
          <w:p>
            <w:pPr>
              <w:pStyle w:val="TableContents"/>
              <w:bidi w:val="0"/>
              <w:spacing w:before="0" w:after="283"/>
              <w:jc w:val="left"/>
              <w:rPr/>
            </w:pPr>
            <w:r>
              <w:rPr/>
              <w:t>$</w:t>
            </w:r>
          </w:p>
        </w:tc>
        <w:tc>
          <w:tcPr>
            <w:tcW w:w="1883" w:type="dxa"/>
            <w:tcBorders/>
          </w:tcPr>
          <w:p>
            <w:pPr>
              <w:pStyle w:val="TableContents"/>
              <w:bidi w:val="0"/>
              <w:spacing w:before="0" w:after="283"/>
              <w:jc w:val="right"/>
              <w:rPr/>
            </w:pPr>
            <w:r>
              <w:rPr/>
              <w:t>15.00 per share</w:t>
            </w:r>
          </w:p>
        </w:tc>
        <w:tc>
          <w:tcPr>
            <w:tcW w:w="60" w:type="dxa"/>
            <w:tcBorders/>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3383" w:type="dxa"/>
            <w:tcBorders/>
          </w:tcPr>
          <w:p>
            <w:pPr>
              <w:pStyle w:val="TableContents"/>
              <w:bidi w:val="0"/>
              <w:spacing w:before="0" w:after="283"/>
              <w:jc w:val="center"/>
              <w:rPr/>
            </w:pPr>
            <w:r>
              <w:rPr/>
              <w:t>VWAP ≥ $15.00 for 20 out of 30 consecutive Trading Days (commencing at least 150 days after Closing but prior to the end of the Earnout Period)</w:t>
            </w:r>
          </w:p>
        </w:tc>
        <w:tc>
          <w:tcPr>
            <w:tcW w:w="200"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283"/>
              <w:jc w:val="left"/>
              <w:rPr/>
            </w:pPr>
            <w:r>
              <w:rPr/>
              <w:t> </w:t>
            </w:r>
          </w:p>
        </w:tc>
        <w:tc>
          <w:tcPr>
            <w:tcW w:w="1597" w:type="dxa"/>
            <w:tcBorders/>
          </w:tcPr>
          <w:p>
            <w:pPr>
              <w:pStyle w:val="TableContents"/>
              <w:bidi w:val="0"/>
              <w:spacing w:before="0" w:after="283"/>
              <w:jc w:val="right"/>
              <w:rPr/>
            </w:pPr>
            <w:r>
              <w:rPr/>
              <w:t>2,000,000</w:t>
            </w:r>
          </w:p>
        </w:tc>
        <w:tc>
          <w:tcPr>
            <w:tcW w:w="66" w:type="dxa"/>
            <w:tcBorders/>
          </w:tcPr>
          <w:p>
            <w:pPr>
              <w:pStyle w:val="TableContents"/>
              <w:bidi w:val="0"/>
              <w:spacing w:before="0" w:after="283"/>
              <w:jc w:val="left"/>
              <w:rPr/>
            </w:pPr>
            <w:r>
              <w:rPr/>
              <w:t> </w:t>
            </w:r>
          </w:p>
        </w:tc>
      </w:tr>
      <w:tr>
        <w:trPr>
          <w:trHeight w:val="120" w:hRule="atLeast"/>
        </w:trPr>
        <w:tc>
          <w:tcPr>
            <w:tcW w:w="2354" w:type="dxa"/>
            <w:tcBorders/>
            <w:vAlign w:val="center"/>
          </w:tcPr>
          <w:p>
            <w:pPr>
              <w:pStyle w:val="TableContents"/>
              <w:bidi w:val="0"/>
              <w:spacing w:before="0" w:after="283"/>
              <w:jc w:val="left"/>
              <w:rPr>
                <w:sz w:val="4"/>
                <w:szCs w:val="4"/>
              </w:rPr>
            </w:pPr>
            <w:r>
              <w:rPr>
                <w:sz w:val="4"/>
                <w:szCs w:val="4"/>
              </w:rPr>
            </w:r>
          </w:p>
        </w:tc>
        <w:tc>
          <w:tcPr>
            <w:tcW w:w="2312" w:type="dxa"/>
            <w:gridSpan w:val="4"/>
            <w:tcBorders/>
            <w:vAlign w:val="center"/>
          </w:tcPr>
          <w:p>
            <w:pPr>
              <w:pStyle w:val="TableContents"/>
              <w:bidi w:val="0"/>
              <w:spacing w:before="0" w:after="283"/>
              <w:jc w:val="left"/>
              <w:rPr>
                <w:sz w:val="4"/>
                <w:szCs w:val="4"/>
              </w:rPr>
            </w:pPr>
            <w:r>
              <w:rPr>
                <w:sz w:val="4"/>
                <w:szCs w:val="4"/>
              </w:rPr>
            </w:r>
          </w:p>
        </w:tc>
        <w:tc>
          <w:tcPr>
            <w:tcW w:w="3583" w:type="dxa"/>
            <w:gridSpan w:val="2"/>
            <w:tcBorders/>
            <w:vAlign w:val="center"/>
          </w:tcPr>
          <w:p>
            <w:pPr>
              <w:pStyle w:val="TableContents"/>
              <w:bidi w:val="0"/>
              <w:spacing w:before="0" w:after="283"/>
              <w:jc w:val="left"/>
              <w:rPr>
                <w:sz w:val="4"/>
                <w:szCs w:val="4"/>
              </w:rPr>
            </w:pPr>
            <w:r>
              <w:rPr>
                <w:sz w:val="4"/>
                <w:szCs w:val="4"/>
              </w:rPr>
            </w:r>
          </w:p>
        </w:tc>
        <w:tc>
          <w:tcPr>
            <w:tcW w:w="1956" w:type="dxa"/>
            <w:gridSpan w:val="4"/>
            <w:tcBorders/>
            <w:vAlign w:val="center"/>
          </w:tcPr>
          <w:p>
            <w:pPr>
              <w:pStyle w:val="TableContents"/>
              <w:bidi w:val="0"/>
              <w:spacing w:before="0" w:after="283"/>
              <w:jc w:val="left"/>
              <w:rPr>
                <w:sz w:val="4"/>
                <w:szCs w:val="4"/>
              </w:rPr>
            </w:pPr>
            <w:r>
              <w:rPr>
                <w:sz w:val="4"/>
                <w:szCs w:val="4"/>
              </w:rPr>
            </w:r>
          </w:p>
        </w:tc>
      </w:tr>
      <w:tr>
        <w:trPr/>
        <w:tc>
          <w:tcPr>
            <w:tcW w:w="23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Tier III</w:t>
            </w:r>
          </w:p>
        </w:tc>
        <w:tc>
          <w:tcPr>
            <w:tcW w:w="200" w:type="dxa"/>
            <w:tcBorders/>
            <w:shd w:fill="CCEEFF" w:val="clear"/>
            <w:vAlign w:val="bottom"/>
          </w:tcPr>
          <w:p>
            <w:pPr>
              <w:pStyle w:val="TableContents"/>
              <w:bidi w:val="0"/>
              <w:spacing w:before="0" w:after="283"/>
              <w:jc w:val="left"/>
              <w:rPr/>
            </w:pPr>
            <w:r>
              <w:rPr/>
              <w:t>  </w:t>
            </w:r>
          </w:p>
        </w:tc>
        <w:tc>
          <w:tcPr>
            <w:tcW w:w="169" w:type="dxa"/>
            <w:tcBorders/>
            <w:shd w:fill="CCEEFF" w:val="clear"/>
          </w:tcPr>
          <w:p>
            <w:pPr>
              <w:pStyle w:val="TableContents"/>
              <w:bidi w:val="0"/>
              <w:spacing w:before="0" w:after="283"/>
              <w:jc w:val="left"/>
              <w:rPr/>
            </w:pPr>
            <w:r>
              <w:rPr/>
              <w:t>$</w:t>
            </w:r>
          </w:p>
        </w:tc>
        <w:tc>
          <w:tcPr>
            <w:tcW w:w="1883" w:type="dxa"/>
            <w:tcBorders/>
            <w:shd w:fill="CCEEFF" w:val="clear"/>
          </w:tcPr>
          <w:p>
            <w:pPr>
              <w:pStyle w:val="TableContents"/>
              <w:bidi w:val="0"/>
              <w:spacing w:before="0" w:after="283"/>
              <w:jc w:val="right"/>
              <w:rPr/>
            </w:pPr>
            <w:r>
              <w:rPr/>
              <w:t>20.00 per share</w:t>
            </w:r>
          </w:p>
        </w:tc>
        <w:tc>
          <w:tcPr>
            <w:tcW w:w="60" w:type="dxa"/>
            <w:tcBorders/>
            <w:shd w:fill="CCEEFF" w:val="clear"/>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3383" w:type="dxa"/>
            <w:tcBorders/>
            <w:shd w:fill="CCEEFF" w:val="clear"/>
          </w:tcPr>
          <w:p>
            <w:pPr>
              <w:pStyle w:val="TableContents"/>
              <w:bidi w:val="0"/>
              <w:spacing w:before="0" w:after="283"/>
              <w:jc w:val="center"/>
              <w:rPr/>
            </w:pPr>
            <w:r>
              <w:rPr/>
              <w:t>VWAP ≥ $20.00 for 20 out of 30 consecutive Trading Days (commencing at least 150 days after Closing but prior to the end of the Earnout Period)</w:t>
            </w:r>
          </w:p>
        </w:tc>
        <w:tc>
          <w:tcPr>
            <w:tcW w:w="200"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pPr>
            <w:r>
              <w:rPr/>
              <w:t> </w:t>
            </w:r>
          </w:p>
        </w:tc>
        <w:tc>
          <w:tcPr>
            <w:tcW w:w="1597" w:type="dxa"/>
            <w:tcBorders/>
            <w:shd w:fill="CCEEFF" w:val="clear"/>
          </w:tcPr>
          <w:p>
            <w:pPr>
              <w:pStyle w:val="TableContents"/>
              <w:bidi w:val="0"/>
              <w:spacing w:before="0" w:after="283"/>
              <w:jc w:val="right"/>
              <w:rPr/>
            </w:pPr>
            <w:r>
              <w:rPr/>
              <w:t>2,000,000</w:t>
            </w:r>
          </w:p>
        </w:tc>
        <w:tc>
          <w:tcPr>
            <w:tcW w:w="66" w:type="dxa"/>
            <w:tcBorders/>
            <w:shd w:fill="CCEEFF" w:val="clear"/>
          </w:tcPr>
          <w:p>
            <w:pPr>
              <w:pStyle w:val="TableContents"/>
              <w:bidi w:val="0"/>
              <w:spacing w:before="0" w:after="283"/>
              <w:jc w:val="left"/>
              <w:rPr/>
            </w:pPr>
            <w:r>
              <w:rPr/>
              <w:t> </w:t>
            </w:r>
          </w:p>
        </w:tc>
      </w:tr>
      <w:tr>
        <w:trPr/>
        <w:tc>
          <w:tcPr>
            <w:tcW w:w="235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0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8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3383"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97" w:type="dxa"/>
            <w:tcBorders/>
            <w:vAlign w:val="bottom"/>
          </w:tcPr>
          <w:p>
            <w:pPr>
              <w:pStyle w:val="TableContents"/>
              <w:bidi w:val="0"/>
              <w:spacing w:before="0" w:after="283"/>
              <w:jc w:val="right"/>
              <w:rPr>
                <w:b/>
              </w:rPr>
            </w:pPr>
            <w:r>
              <w:rPr>
                <w:b/>
              </w:rPr>
              <w:t>6,000,000</w:t>
            </w:r>
          </w:p>
        </w:tc>
        <w:tc>
          <w:tcPr>
            <w:tcW w:w="66"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share price target may only be achieved once during the Earnout Period. The achievement of a higher-tier share price based Triggering Event is deemed to include the achievement of any lower-tier share price based Triggering Event not previously achieved, and in such case, the Earnout Shares attributable to each such share price target will become issuable to then-qualifying Earnout Participants together. </w:t>
      </w:r>
    </w:p>
    <w:p>
      <w:pPr>
        <w:pStyle w:val="TextBody"/>
        <w:bidi w:val="0"/>
        <w:spacing w:before="240" w:after="0"/>
        <w:jc w:val="left"/>
        <w:rPr>
          <w:rFonts w:ascii="Times New Roman" w:hAnsi="Times New Roman"/>
          <w:sz w:val="20"/>
        </w:rPr>
      </w:pPr>
      <w:r>
        <w:rPr>
          <w:rFonts w:ascii="Times New Roman" w:hAnsi="Times New Roman"/>
          <w:sz w:val="20"/>
        </w:rPr>
        <w:t xml:space="preserve">If a Qualifying Change of Control (as defined above) occurs during the Earnout Period (in which the implied consideration per share of Common Stock equals or exceeds $12.00), eligible Earnout Participants shall be entitled to receive their respective Earnout Pro Rata Share of all Earnout Shares not previously vested. If none of the Trigger Events occur during the Earnout Period, no Earnout Shares will be delivered to Earnout Participants. If any Earnout Shares are issued, they will not be registered at the time of issuance.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Information Regarding Stockholder Merger Consideration and Pro Rata Shares of Stockholder Merger Consideration </w:t>
      </w:r>
    </w:p>
    <w:p>
      <w:pPr>
        <w:pStyle w:val="TextBody"/>
        <w:bidi w:val="0"/>
        <w:spacing w:before="120" w:after="0"/>
        <w:jc w:val="left"/>
        <w:rPr>
          <w:rFonts w:ascii="Times New Roman" w:hAnsi="Times New Roman"/>
          <w:sz w:val="20"/>
        </w:rPr>
      </w:pPr>
      <w:r>
        <w:rPr>
          <w:rFonts w:ascii="Times New Roman" w:hAnsi="Times New Roman"/>
          <w:sz w:val="20"/>
        </w:rPr>
        <w:t>Under the terms of the Merger Agreement, “</w:t>
      </w:r>
      <w:r>
        <w:rPr>
          <w:rFonts w:ascii="Times New Roman" w:hAnsi="Times New Roman"/>
          <w:b/>
          <w:sz w:val="20"/>
        </w:rPr>
        <w:t>Stockholder Merger Consideration</w:t>
      </w:r>
      <w:r>
        <w:rPr>
          <w:rFonts w:ascii="Times New Roman" w:hAnsi="Times New Roman"/>
          <w:sz w:val="20"/>
        </w:rPr>
        <w:t xml:space="preserve">” represents a subset of the aggregate Merger Consideration, excluding the value attributed to Assumed Vested Options. In connection with the Closing, each Teamshares Stockholder received its Pro Rata Share of the Stockholder Merger Consideration (after giving effect to Liquidation Preference Elections by Eligible Preferred Holders and, thereafter, giving effect to the Company Preferred Stock Exchange or otherwise treating shares of Company Preferred Stock on an as-converted to Company Common Stock basis, but excluding Company Treasury Shares). A Teamshares Stockholder’s Pro Rata Share is calculated as a fraction, expressed as a percentage, equal to (i) the portion of the Stockholder Merger Consideration issuable to such stockholder in accordance with the terms of the Merger Agreement, divided by (ii) the total Stockholder Merger Consideration issuable to all Teamshares Stockholders. The number of shares of Common Stock issuable to each Teamshares Stockholder was determined by applying the Conversion Ratio (as defined below) to the number of shares of Company Common Stock held by such stockholder as of immediately prior to the First Effective Time (after giving effect to Liquidation Preference Elections by Eligible Preferred Holders and, thereafter, after giving effect to Company Preferred Stock Exchange or otherwise treating Teamshares Preferred Stock on an as-converted to common stock basis), but excluding, for calculation purposes, Company Treasury Shares. </w:t>
      </w:r>
    </w:p>
    <w:p>
      <w:pPr>
        <w:pStyle w:val="TextBody"/>
        <w:bidi w:val="0"/>
        <w:spacing w:before="240" w:after="0"/>
        <w:jc w:val="left"/>
        <w:rPr>
          <w:rFonts w:ascii="Times New Roman" w:hAnsi="Times New Roman"/>
          <w:sz w:val="20"/>
        </w:rPr>
      </w:pPr>
      <w:r>
        <w:rPr>
          <w:rFonts w:ascii="Times New Roman" w:hAnsi="Times New Roman"/>
          <w:sz w:val="20"/>
        </w:rPr>
        <w:t>The “</w:t>
      </w:r>
      <w:r>
        <w:rPr>
          <w:rFonts w:ascii="Times New Roman" w:hAnsi="Times New Roman"/>
          <w:b/>
          <w:sz w:val="20"/>
        </w:rPr>
        <w:t>Conversion Ratio</w:t>
      </w:r>
      <w:r>
        <w:rPr>
          <w:rFonts w:ascii="Times New Roman" w:hAnsi="Times New Roman"/>
          <w:sz w:val="20"/>
        </w:rPr>
        <w:t>” is equal to (i) the Per Share Price, divided by (ii) $10.00. The “</w:t>
      </w:r>
      <w:r>
        <w:rPr>
          <w:rFonts w:ascii="Times New Roman" w:hAnsi="Times New Roman"/>
          <w:b/>
          <w:sz w:val="20"/>
        </w:rPr>
        <w:t>Per Share Price</w:t>
      </w:r>
      <w:r>
        <w:rPr>
          <w:rFonts w:ascii="Times New Roman" w:hAnsi="Times New Roman"/>
          <w:sz w:val="20"/>
        </w:rPr>
        <w:t>” is equal to (A) the Merger Consideration (i.e., $525.0 million plus any Interim Period Financing amounts that convert to Teamshares common stock prior to the First Effective Time), divided by (B) the number of Fully-Diluted Company Shares outstanding as of the First Effective Time. “</w:t>
      </w:r>
      <w:r>
        <w:rPr>
          <w:rFonts w:ascii="Times New Roman" w:hAnsi="Times New Roman"/>
          <w:b/>
          <w:sz w:val="20"/>
        </w:rPr>
        <w:t>Fully-Diluted Company Shares</w:t>
      </w:r>
      <w:r>
        <w:rPr>
          <w:rFonts w:ascii="Times New Roman" w:hAnsi="Times New Roman"/>
          <w:sz w:val="20"/>
        </w:rPr>
        <w:t xml:space="preserve">”,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defined in the Merger Agreement, as of the Closing and without duplication, means the total number of issued and outstanding shares of Company Common Stock, expressed on a fully-diluted and as-converted to Company Common Stock basis, (a) after giving effect to Liquidation Preference Elections by Eligible Preferred Holders and, thereafter, giving effect to the Company Preferred Stock Exchange or otherwise treating shares of Company Preferred Stock on an as converted to Company Common Stock basis, (b) issuable upon the settlement of Company In-the-Money Options (vested and unvested) outstanding and unexercised as of immediately prior to the First Effective Time, calculated in accordance with the treasury accounting method, and (c) treating all outstanding Company Convertible Securities (other than Company Options) as fully vested and as if the Company Convertible Security had been exercised, exchanged or converted as of the First Effective Time and calculated using the treasury method of accounting, but excluding any Company Securities held by Teamshares as treasury stock. The final Conversion Ratio was calculated as 4.510.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Related Events in Connection with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Other related events that have or are contemplated to take place in connection with the Business Combination are summarized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Initial PIPE Investment </w:t>
      </w:r>
    </w:p>
    <w:p>
      <w:pPr>
        <w:pStyle w:val="TextBody"/>
        <w:bidi w:val="0"/>
        <w:spacing w:before="120" w:after="0"/>
        <w:jc w:val="left"/>
        <w:rPr>
          <w:rFonts w:ascii="Times New Roman" w:hAnsi="Times New Roman"/>
          <w:sz w:val="20"/>
        </w:rPr>
      </w:pPr>
      <w:r>
        <w:rPr>
          <w:rFonts w:ascii="Times New Roman" w:hAnsi="Times New Roman"/>
          <w:sz w:val="20"/>
        </w:rPr>
        <w:t>Concurrently with the execution of the Original Merger Agreement, Live Oak entered into Initial PIPE Subscription Agreements with the Initial PIPE Investors, including certain members of Teamshares management (identified below, the “</w:t>
      </w:r>
      <w:r>
        <w:rPr>
          <w:rFonts w:ascii="Times New Roman" w:hAnsi="Times New Roman"/>
          <w:b/>
          <w:sz w:val="20"/>
        </w:rPr>
        <w:t>Teamshares PIPE Investors</w:t>
      </w:r>
      <w:r>
        <w:rPr>
          <w:rFonts w:ascii="Times New Roman" w:hAnsi="Times New Roman"/>
          <w:sz w:val="20"/>
        </w:rPr>
        <w:t xml:space="preserve">”). Under the terms of the Initial PIPE Subscription Agreements, the Initial PIPE Investors agreed to subscribe for and purchase 13,750,000 Live Oak shares at a purchase price of $9.20 per share for gross proceeds of approximately $126.5 million. </w:t>
      </w:r>
    </w:p>
    <w:p>
      <w:pPr>
        <w:pStyle w:val="TextBody"/>
        <w:bidi w:val="0"/>
        <w:spacing w:before="240" w:after="0"/>
        <w:jc w:val="left"/>
        <w:rPr>
          <w:rFonts w:ascii="Times New Roman" w:hAnsi="Times New Roman"/>
          <w:sz w:val="20"/>
        </w:rPr>
      </w:pPr>
      <w:r>
        <w:rPr>
          <w:rFonts w:ascii="Times New Roman" w:hAnsi="Times New Roman"/>
          <w:sz w:val="20"/>
        </w:rPr>
        <w:t xml:space="preserve">The Teamshares PIPE Investors have entered into Initial PIPE Subscription Agreements with Live Oak to purchase the following shares of Live Oak Class A Common Stock for the following investment amounts (at $9.20 per share subscription price) in accordance with the terms of such subscription agreements: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204"/>
        <w:gridCol w:w="917"/>
        <w:gridCol w:w="398"/>
        <w:gridCol w:w="2357"/>
        <w:gridCol w:w="63"/>
      </w:tblGrid>
      <w:tr>
        <w:trPr/>
        <w:tc>
          <w:tcPr>
            <w:tcW w:w="3204" w:type="dxa"/>
            <w:tcBorders/>
            <w:vAlign w:val="center"/>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2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917" w:type="dxa"/>
            <w:tcBorders/>
            <w:vAlign w:val="bottom"/>
          </w:tcPr>
          <w:p>
            <w:pPr>
              <w:pStyle w:val="TableContents"/>
              <w:bidi w:val="0"/>
              <w:spacing w:before="0" w:after="283"/>
              <w:jc w:val="left"/>
              <w:rPr/>
            </w:pPr>
            <w:r>
              <w:rPr/>
              <w:t>  </w:t>
            </w:r>
          </w:p>
        </w:tc>
        <w:tc>
          <w:tcPr>
            <w:tcW w:w="2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PIPE Investment Amount</w:t>
            </w:r>
          </w:p>
        </w:tc>
        <w:tc>
          <w:tcPr>
            <w:tcW w:w="63" w:type="dxa"/>
            <w:tcBorders/>
            <w:vAlign w:val="bottom"/>
          </w:tcPr>
          <w:p>
            <w:pPr>
              <w:pStyle w:val="TableContents"/>
              <w:bidi w:val="0"/>
              <w:spacing w:before="0" w:after="283"/>
              <w:jc w:val="left"/>
              <w:rPr/>
            </w:pPr>
            <w:r>
              <w:rPr/>
              <w:t> </w:t>
            </w:r>
          </w:p>
        </w:tc>
      </w:tr>
      <w:tr>
        <w:trPr/>
        <w:tc>
          <w:tcPr>
            <w:tcW w:w="3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Brown</w:t>
            </w:r>
          </w:p>
        </w:tc>
        <w:tc>
          <w:tcPr>
            <w:tcW w:w="91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w:t>
            </w:r>
          </w:p>
        </w:tc>
        <w:tc>
          <w:tcPr>
            <w:tcW w:w="2357" w:type="dxa"/>
            <w:tcBorders/>
            <w:shd w:fill="CCEEFF" w:val="clear"/>
            <w:vAlign w:val="bottom"/>
          </w:tcPr>
          <w:p>
            <w:pPr>
              <w:pStyle w:val="TableContents"/>
              <w:bidi w:val="0"/>
              <w:spacing w:before="0" w:after="283"/>
              <w:jc w:val="right"/>
              <w:rPr/>
            </w:pPr>
            <w:r>
              <w:rPr/>
              <w:t>250,000</w:t>
            </w:r>
          </w:p>
        </w:tc>
        <w:tc>
          <w:tcPr>
            <w:tcW w:w="63" w:type="dxa"/>
            <w:tcBorders/>
            <w:shd w:fill="CCEEFF" w:val="clear"/>
            <w:vAlign w:val="bottom"/>
          </w:tcPr>
          <w:p>
            <w:pPr>
              <w:pStyle w:val="TableContents"/>
              <w:bidi w:val="0"/>
              <w:spacing w:before="0" w:after="283"/>
              <w:jc w:val="left"/>
              <w:rPr/>
            </w:pPr>
            <w:r>
              <w:rPr/>
              <w:t> </w:t>
            </w:r>
          </w:p>
        </w:tc>
      </w:tr>
      <w:tr>
        <w:trPr/>
        <w:tc>
          <w:tcPr>
            <w:tcW w:w="3204" w:type="dxa"/>
            <w:tcBorders/>
          </w:tcPr>
          <w:p>
            <w:pPr>
              <w:pStyle w:val="TableContents"/>
              <w:bidi w:val="0"/>
              <w:spacing w:before="0" w:after="0"/>
              <w:jc w:val="left"/>
              <w:rPr>
                <w:rFonts w:ascii="Times New Roman" w:hAnsi="Times New Roman"/>
                <w:sz w:val="20"/>
              </w:rPr>
            </w:pPr>
            <w:r>
              <w:rPr>
                <w:rFonts w:ascii="Times New Roman" w:hAnsi="Times New Roman"/>
                <w:sz w:val="20"/>
              </w:rPr>
              <w:t>Alex Eu</w:t>
            </w:r>
          </w:p>
        </w:tc>
        <w:tc>
          <w:tcPr>
            <w:tcW w:w="91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w:t>
            </w:r>
          </w:p>
        </w:tc>
        <w:tc>
          <w:tcPr>
            <w:tcW w:w="2357" w:type="dxa"/>
            <w:tcBorders/>
            <w:vAlign w:val="bottom"/>
          </w:tcPr>
          <w:p>
            <w:pPr>
              <w:pStyle w:val="TableContents"/>
              <w:bidi w:val="0"/>
              <w:spacing w:before="0" w:after="283"/>
              <w:jc w:val="right"/>
              <w:rPr/>
            </w:pPr>
            <w:r>
              <w:rPr/>
              <w:t>250,000</w:t>
            </w:r>
          </w:p>
        </w:tc>
        <w:tc>
          <w:tcPr>
            <w:tcW w:w="63" w:type="dxa"/>
            <w:tcBorders/>
            <w:vAlign w:val="bottom"/>
          </w:tcPr>
          <w:p>
            <w:pPr>
              <w:pStyle w:val="TableContents"/>
              <w:bidi w:val="0"/>
              <w:spacing w:before="0" w:after="283"/>
              <w:jc w:val="left"/>
              <w:rPr/>
            </w:pPr>
            <w:r>
              <w:rPr/>
              <w:t> </w:t>
            </w:r>
          </w:p>
        </w:tc>
      </w:tr>
      <w:tr>
        <w:trPr/>
        <w:tc>
          <w:tcPr>
            <w:tcW w:w="3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Kevin Shiiba</w:t>
            </w:r>
          </w:p>
        </w:tc>
        <w:tc>
          <w:tcPr>
            <w:tcW w:w="91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w:t>
            </w:r>
          </w:p>
        </w:tc>
        <w:tc>
          <w:tcPr>
            <w:tcW w:w="2357" w:type="dxa"/>
            <w:tcBorders/>
            <w:shd w:fill="CCEEFF" w:val="clear"/>
            <w:vAlign w:val="bottom"/>
          </w:tcPr>
          <w:p>
            <w:pPr>
              <w:pStyle w:val="TableContents"/>
              <w:bidi w:val="0"/>
              <w:spacing w:before="0" w:after="283"/>
              <w:jc w:val="right"/>
              <w:rPr/>
            </w:pPr>
            <w:r>
              <w:rPr/>
              <w:t>250,000</w:t>
            </w:r>
          </w:p>
        </w:tc>
        <w:tc>
          <w:tcPr>
            <w:tcW w:w="63" w:type="dxa"/>
            <w:tcBorders/>
            <w:shd w:fill="CCEEFF" w:val="clear"/>
            <w:vAlign w:val="bottom"/>
          </w:tcPr>
          <w:p>
            <w:pPr>
              <w:pStyle w:val="TableContents"/>
              <w:bidi w:val="0"/>
              <w:spacing w:before="0" w:after="283"/>
              <w:jc w:val="left"/>
              <w:rPr/>
            </w:pPr>
            <w:r>
              <w:rPr/>
              <w:t> </w:t>
            </w:r>
          </w:p>
        </w:tc>
      </w:tr>
      <w:tr>
        <w:trPr/>
        <w:tc>
          <w:tcPr>
            <w:tcW w:w="3204" w:type="dxa"/>
            <w:tcBorders/>
          </w:tcPr>
          <w:p>
            <w:pPr>
              <w:pStyle w:val="TableContents"/>
              <w:bidi w:val="0"/>
              <w:spacing w:before="0" w:after="0"/>
              <w:jc w:val="left"/>
              <w:rPr>
                <w:rFonts w:ascii="Times New Roman" w:hAnsi="Times New Roman"/>
                <w:sz w:val="20"/>
              </w:rPr>
            </w:pPr>
            <w:r>
              <w:rPr>
                <w:rFonts w:ascii="Times New Roman" w:hAnsi="Times New Roman"/>
                <w:sz w:val="20"/>
              </w:rPr>
              <w:t>Brian Gaebe</w:t>
            </w:r>
          </w:p>
        </w:tc>
        <w:tc>
          <w:tcPr>
            <w:tcW w:w="91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w:t>
            </w:r>
          </w:p>
        </w:tc>
        <w:tc>
          <w:tcPr>
            <w:tcW w:w="2357" w:type="dxa"/>
            <w:tcBorders/>
            <w:vAlign w:val="bottom"/>
          </w:tcPr>
          <w:p>
            <w:pPr>
              <w:pStyle w:val="TableContents"/>
              <w:bidi w:val="0"/>
              <w:spacing w:before="0" w:after="283"/>
              <w:jc w:val="right"/>
              <w:rPr/>
            </w:pPr>
            <w:r>
              <w:rPr/>
              <w:t>125,000</w:t>
            </w:r>
          </w:p>
        </w:tc>
        <w:tc>
          <w:tcPr>
            <w:tcW w:w="63" w:type="dxa"/>
            <w:tcBorders/>
            <w:vAlign w:val="bottom"/>
          </w:tcPr>
          <w:p>
            <w:pPr>
              <w:pStyle w:val="TableContents"/>
              <w:bidi w:val="0"/>
              <w:spacing w:before="0" w:after="283"/>
              <w:jc w:val="left"/>
              <w:rPr/>
            </w:pPr>
            <w:r>
              <w:rPr/>
              <w:t> </w:t>
            </w:r>
          </w:p>
        </w:tc>
      </w:tr>
      <w:tr>
        <w:trPr/>
        <w:tc>
          <w:tcPr>
            <w:tcW w:w="3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Madhuri Kommareddi</w:t>
            </w:r>
          </w:p>
        </w:tc>
        <w:tc>
          <w:tcPr>
            <w:tcW w:w="91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w:t>
            </w:r>
          </w:p>
        </w:tc>
        <w:tc>
          <w:tcPr>
            <w:tcW w:w="2357" w:type="dxa"/>
            <w:tcBorders/>
            <w:shd w:fill="CCEEFF" w:val="clear"/>
            <w:vAlign w:val="bottom"/>
          </w:tcPr>
          <w:p>
            <w:pPr>
              <w:pStyle w:val="TableContents"/>
              <w:bidi w:val="0"/>
              <w:spacing w:before="0" w:after="283"/>
              <w:jc w:val="right"/>
              <w:rPr/>
            </w:pPr>
            <w:r>
              <w:rPr/>
              <w:t>125,000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terms of the Initial PIPE Subscription Agreements into which the Teamshares PIPE Investors entered are equivalent to the terms of the Initial PIPE Subscription Agreements entered into by investors in the Initial PIPE Investment transaction that are not Teamshares PIPE Investors. For purposes of share calculations and ownership percentages, and to avoid duplication, the shares of Common Stock held by the Teamshares PIPE Investors immediately after the Closing are included, in this and other sections of this Prospectus, in the aggregate number of shares of Common Stock issuable to the Initial PIPE Investors. Accordingly, those shares are excluded from the presentations of the number of shares of Common Stock held by the Teamshares Stockholders immediately after the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Simple Agreements for Future Equity (SAFE) Investments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 between December 2025 and May 2026, Teamshares and SAFE Investors entered into Teamshares SAFEs for Purchase Amounts of approximately $6.3 million, of which $3.0 million was received by Teamshares in December 2025, $1.1 million was received by Teamshares in January 2026, $1.3 million was received by Teamshares in April 2026, and $1.0 million was received by Teamshares in May 2026. The Teamshares SAFEs entered into prior to March 31, 2026 are included in Other Long-Term Liabilities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Consolidated Balance Sheet as of March 31, 2026. Pursuant to the terms of the Teamshares SAFEs, the Teamshares SAFEs automatically converted into 688,043 newly-issued shares of Common Stock in connection with the Business Combination. The Teamshares SAFEs also contemplated and resulted in the delivery at the Closing of an aggregate of 63,300 additional shares of Common Stock as “bonus shares.” Pursuant to the terms of the Teamshares SAFEs, the Teamshares SAFEs automatically converted upon consummation of the Business Combination into SAFE Investor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Founder Shares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1,150,000 Deferred Founder Shares are subjected to Founder Shares Post-Closing Conditions and will be forfeited, in whole or in part, if such conditions are not satisfied within the post-Closing Founder Share Measurement Period. As of the Closing, a total of 1,049,529 Incentive Founder Shares were undistributed resulting in the forfeiture of 524,765 shares and retention of 524,765 shares by the Sponsor that are subject to the Founder Shares Post-Closing Conditions during the Founder Share Measurement Period (and forfeited if the Founder Shares Post-Closing Conditions are not satisfied during such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Teamshares Liquidation Preference Elections and Warrant Exercises </w:t>
      </w:r>
    </w:p>
    <w:p>
      <w:pPr>
        <w:pStyle w:val="TextBody"/>
        <w:bidi w:val="0"/>
        <w:spacing w:before="120" w:after="0"/>
        <w:jc w:val="left"/>
        <w:rPr>
          <w:rFonts w:ascii="Times New Roman" w:hAnsi="Times New Roman"/>
          <w:sz w:val="20"/>
        </w:rPr>
      </w:pPr>
      <w:r>
        <w:rPr>
          <w:rFonts w:ascii="Times New Roman" w:hAnsi="Times New Roman"/>
          <w:sz w:val="20"/>
        </w:rPr>
        <w:t>In connection with the Business Combination, Legacy Teamshares determined, in order to encourage certain holders of shares of Legacy Teamshares Preferred Stock to provide support for, and ultimately approve, the Transactions, to offer holders of outstanding shares of Legacy Teamshares Series C-1 Preferred Stock, Legacy Teamshares Series C-2 Preferred Stock, Legacy Teamshares Series D-1 Preferred Stock, Legacy Teamshares Series D-2 Preferred Stock, Legacy Teamshares Series D-NV Preferred Stock, Legacy Teamshares Series E Preferred Stock and Legacy Teamshares Series E-NV Preferred Stock (collectively, “</w:t>
      </w:r>
      <w:r>
        <w:rPr>
          <w:rFonts w:ascii="Times New Roman" w:hAnsi="Times New Roman"/>
          <w:b/>
          <w:sz w:val="20"/>
        </w:rPr>
        <w:t>Eligible Preferred Holders</w:t>
      </w:r>
      <w:r>
        <w:rPr>
          <w:rFonts w:ascii="Times New Roman" w:hAnsi="Times New Roman"/>
          <w:sz w:val="20"/>
        </w:rPr>
        <w:t>”) a right to elect, in such holders’ discretion, to receive, prior to the Closing (and before the Legacy Teamshares Preferred Stock Exchange was effectuated in accordance with the terms of the Merger Agreement), a larger number of shares of Common Stock in connection with the conversion of eligible shares of Legacy Teamshares Preferred Stock into shares of Common Stock, as required by the Merger Agreement, than Eligible Preferred Holders who made the Liquidation Preference Election would have received pursuant to “Mandatory Conversion” treatment, as further described below and in the Liquidation Preference Election and Waiver Documents delivered to the Eligible Preferred Holders, in consideration for which election, if selected, such Liquidation Preference Electing Holders forfeited entitlement to participate in any Earnout Shares (if any such Earnout Shares are issued during the post-Closing Earnout Period in accordance with the terms of the Merger Agreement) in respect of the shares of Common Stock Liquidation Preference Electing Holders received in respect of such holders’ shares of Legacy Teamshares Preferred Stock relative to which Liquidation Preference Elections are made (“</w:t>
      </w:r>
      <w:r>
        <w:rPr>
          <w:rFonts w:ascii="Times New Roman" w:hAnsi="Times New Roman"/>
          <w:b/>
          <w:sz w:val="20"/>
        </w:rPr>
        <w:t>Liquidation Preference Election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Prior to disseminating the Liquidation Preference Election and Waiver Documents to Eligible Preferred Holders, Legacy Teamshares, prior to or concurrent with the date of execution of the Original Merger Agreement, obtained consent from certain Legacy Teamshares stockholders to offer the Liquidation Preference Election to certain holders of Legacy Teamshares Preferred Stock and, prior to the Closing, disseminated the Liquidation Preference Election and Waiver Documents to all Eligible Preferred Holders and received responses as to elections from holders of all Legacy Teamshares’ outstanding shares of Legacy Teamshares Series C-1 Preferred Stock, Legacy Teamshares Series C-2 Preferred Stock, Legacy Teamshares Series D-1 Preferred Stock, Legacy Teamshares Series D-2 Preferred Stock, Legacy Teamshares Series D-NV Preferred Stock, Legacy Teamshares Series E Preferred Stock and Legacy Teamshares Series E-NV Preferred Stock and received completed Liquidation Preference Election Documents from all Eligible Preferred Holders. </w:t>
      </w:r>
    </w:p>
    <w:p>
      <w:pPr>
        <w:pStyle w:val="TextBody"/>
        <w:bidi w:val="0"/>
        <w:spacing w:before="240" w:after="0"/>
        <w:jc w:val="left"/>
        <w:rPr>
          <w:rFonts w:ascii="Times New Roman" w:hAnsi="Times New Roman"/>
          <w:sz w:val="20"/>
        </w:rPr>
      </w:pPr>
      <w:r>
        <w:rPr>
          <w:rFonts w:ascii="Times New Roman" w:hAnsi="Times New Roman"/>
          <w:sz w:val="20"/>
        </w:rPr>
        <w:t xml:space="preserve">Following is a description of the material terms of the Liquidation Preference Election offered to Eligible Preferred Holders pursuant to the Liquidation Election and Waiver Documents. Pursuant to the terms of the Liquidation Preference Election and Waiver Documents, Eligible Preferred 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Eligible Preferred Holders may elect (a “</w:t>
            </w:r>
            <w:r>
              <w:rPr>
                <w:rFonts w:ascii="Times New Roman" w:hAnsi="Times New Roman"/>
                <w:b/>
                <w:sz w:val="20"/>
              </w:rPr>
              <w:t>Liquidation Preference Election</w:t>
            </w:r>
            <w:r>
              <w:rPr>
                <w:rFonts w:ascii="Times New Roman" w:hAnsi="Times New Roman"/>
                <w:sz w:val="20"/>
              </w:rPr>
              <w:t xml:space="preserve">”), on an irrevocable basis, to receive, in lieu of shares of Common Stock that such holders would otherwise have received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the provisions set forth in Section 5.1 of Legacy Teamshares’ Charter in connection with conversion of such holders’ preferred stock into shares of Common Stock in connection with the Business Combination (a “</w:t>
            </w:r>
            <w:r>
              <w:rPr>
                <w:rFonts w:ascii="Times New Roman" w:hAnsi="Times New Roman"/>
                <w:b/>
                <w:sz w:val="20"/>
              </w:rPr>
              <w:t>Mandatory Conversion</w:t>
            </w:r>
            <w:r>
              <w:rPr>
                <w:rFonts w:ascii="Times New Roman" w:hAnsi="Times New Roman"/>
                <w:sz w:val="20"/>
              </w:rPr>
              <w:t xml:space="preserve">”), a number of newly-issued shares of Common Stock determined based on the applicable “Liquidation Amount”, divided by the Per Share Price determined as of the Closing, as defined in the Merger Agreement. The “Liquidation Amount” is defined as the greater of (x) the applicable Original Issue Price of such shares of Legacy Teamshares Preferred Stock (as defined in the Legacy Teamshares Charter), plus any dividends declared but unpaid thereon, or (y) such amount per share as would have been payable had all shares of the applicable series of Legacy Teamshares Preferred Stock been converted into shares of Common Stock pursuant to Section 4 of the Legacy Teamshares Charter.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Eligible Preferred Holders that made a Liquidation Preference Election (each, a “</w:t>
            </w:r>
            <w:r>
              <w:rPr>
                <w:rFonts w:ascii="Times New Roman" w:hAnsi="Times New Roman"/>
                <w:b/>
                <w:sz w:val="20"/>
              </w:rPr>
              <w:t>Liquidation Preference Electing Holder</w:t>
            </w:r>
            <w:r>
              <w:rPr>
                <w:rFonts w:ascii="Times New Roman" w:hAnsi="Times New Roman"/>
                <w:sz w:val="20"/>
              </w:rPr>
              <w:t>”) were required, in consideration for such election, to forfeit their entitlement to receive any Earnout Shares that may be issued during the five-year post-Closing Earnout Period in respect of such Liquidation Preference Election Shares. By contrast, Eligible Preferred Holders that elected Mandatory Conversion treatment (a “</w:t>
            </w:r>
            <w:r>
              <w:rPr>
                <w:rFonts w:ascii="Times New Roman" w:hAnsi="Times New Roman"/>
                <w:b/>
                <w:sz w:val="20"/>
              </w:rPr>
              <w:t>Mandatory Conversion Election</w:t>
            </w:r>
            <w:r>
              <w:rPr>
                <w:rFonts w:ascii="Times New Roman" w:hAnsi="Times New Roman"/>
                <w:sz w:val="20"/>
              </w:rPr>
              <w:t>”) had their shares of Legacy Teamshares Preferred Stock cancelled and exchanged for newly-issued shares of Common Stock, as part of the Legacy Teamshares Preferred Stock Exchange contemplated and required by the terms of the Merger Agreement, at the as-converted ratio determined pursuant to Section 5.1 of the Legacy Teamshares Charter, and holders that made the Mandatory Conversion Election (“</w:t>
            </w:r>
            <w:r>
              <w:rPr>
                <w:rFonts w:ascii="Times New Roman" w:hAnsi="Times New Roman"/>
                <w:b/>
                <w:sz w:val="20"/>
              </w:rPr>
              <w:t>Mandatory Conversion Electing Holders</w:t>
            </w:r>
            <w:r>
              <w:rPr>
                <w:rFonts w:ascii="Times New Roman" w:hAnsi="Times New Roman"/>
                <w:sz w:val="20"/>
              </w:rPr>
              <w:t>”) in respect of applicable shares of Legacy Teamshares Preferred Stock (“</w:t>
            </w:r>
            <w:r>
              <w:rPr>
                <w:rFonts w:ascii="Times New Roman" w:hAnsi="Times New Roman"/>
                <w:b/>
                <w:sz w:val="20"/>
              </w:rPr>
              <w:t>Mandatory Conversion Shares</w:t>
            </w:r>
            <w:r>
              <w:rPr>
                <w:rFonts w:ascii="Times New Roman" w:hAnsi="Times New Roman"/>
                <w:sz w:val="20"/>
              </w:rPr>
              <w:t xml:space="preserve">”) remain eligible to participate in any Earnout Shares that may be issued during the Earnout Period in respect of the shares of Common Stock issuable at the Closing in respect of such Mandatory Conversion Election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terms and procedures outlined in the Liquidation Preference Election and Waiver Documents, any Eligible Preferred Holder that did not timely deliver completed Liquidation Preference Election and Waiver Documents was deemed to have made a Mandatory Conversion Election with respect to such holder’s shares of Legacy Teamshares Preferred Stock covered by the Liquidation Preference Election and Waiver Documents.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under the terms of the Liquidation Preference Election and Waiver Documents, Eligible Preferred Holders irrevocably (i) waived any and all protective provisions, veto, consent or approval rights, class or series voting rights, anti-dilution rights and all other rights, preferences and terms applicable to such holders’ applicable shares of Legacy Teamshares Preferred Stock under the Legacy Teamshares Charter, its bylaws or any other agreement with Legacy Teamshares, in each case to the extent such rights would or may otherwise have been implicated by, or required separate approval in connection with, the Transactions and the Liquidation Preference Election and Waiver Documents, and (ii) agreed to release and waive in full and all claims such holders may have, have had or may in the future have against any of Legacy Teamshares, Live Oak, the Sponsor, New Teamshares and any of their respective past and present subsidiaries, affiliates, predecessors, officers, directors, stockholders, members, agents, representatives, successors and assigns, subject to customary carve-outs for director and officer indemnification, employee compensation and benefits that are due or payable as of the Closing, and claims that cannot be waived as a matter of law.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calculating the number of shares of Company Common Stock outstanding prior to the First Effective Time, it is noted that (A) (i) some, but not all, of the holders of outstanding shares of Company Series C-1 Preferred Stock, and none of the holders of outstanding shares of Company Series C-2 Preferred Stock, made Liquidation Preference Elections (as further described elsewhere in this Prospectus) and (ii) all of the holders of Company Series D-1 Preferred Stock, Company Series D-2 Preferred Stock, Company Series D-NV Preferred Stock, Company Series E Preferred Stock and Company Series E-NV Preferred Stock made Liquidation Preference Elections in accordance with the Liquidation Preference Election and Waiver Documents. Based on the foregoing election results, using the Per Share Price determined at Closing in accordance with the terms of the Merger Agreement, an aggregate of 5,171,149 shares of Company Common Stock were issuable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Teamshares prior to the Company Preferred Stock Exchange required by the terms of the Merger Agreement to be effectuated prior to the First Effective Time, to Liquidation Preference Electing Holders, corresponding to an aggregate liquidation preference allocation, expressed as a dollar amount, of $233.2 million, as further detailed in the sections of this Prospectus entitled “Teamshares Liquidation Preference Elections and Warrant Exercises” and “Unaudited Pro Forma Condensed Combined Financial Information”; and (B) warrants to purchase 77,258 shares of Company Common Stock were exercised in accordance with their terms (resulting in the issuance, on a net exercise basis, of 48,988 shares of Company Common Stock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Liquidation Preference Elections which were made as of the Closing resulted in the issuance of 1,971,943 more shares of Company Common Stock than would have been issued to such Liquidation Preference Electing Holders, had such holders not made Liquidation Preference Elections.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Non-Redemption Agreements </w:t>
      </w:r>
    </w:p>
    <w:p>
      <w:pPr>
        <w:pStyle w:val="TextBody"/>
        <w:bidi w:val="0"/>
        <w:spacing w:before="120" w:after="0"/>
        <w:jc w:val="left"/>
        <w:rPr>
          <w:rFonts w:ascii="Times New Roman" w:hAnsi="Times New Roman"/>
          <w:sz w:val="20"/>
        </w:rPr>
      </w:pPr>
      <w:r>
        <w:rPr>
          <w:rFonts w:ascii="Times New Roman" w:hAnsi="Times New Roman"/>
          <w:sz w:val="20"/>
        </w:rPr>
        <w:t>In connection with the Closing of the Business Combination, Live Oak entered into Non-Redemption Agreements (the “</w:t>
      </w:r>
      <w:r>
        <w:rPr>
          <w:rFonts w:ascii="Times New Roman" w:hAnsi="Times New Roman"/>
          <w:b/>
          <w:sz w:val="20"/>
        </w:rPr>
        <w:t>Non-Redemption Agreements</w:t>
      </w:r>
      <w:r>
        <w:rPr>
          <w:rFonts w:ascii="Times New Roman" w:hAnsi="Times New Roman"/>
          <w:sz w:val="20"/>
        </w:rPr>
        <w:t>”), dated as of June 5, 2026, with unaffiliated third-party shareholders of Live Oak (each, a “</w:t>
      </w:r>
      <w:r>
        <w:rPr>
          <w:rFonts w:ascii="Times New Roman" w:hAnsi="Times New Roman"/>
          <w:b/>
          <w:sz w:val="20"/>
        </w:rPr>
        <w:t>NRA Investor</w:t>
      </w:r>
      <w:r>
        <w:rPr>
          <w:rFonts w:ascii="Times New Roman" w:hAnsi="Times New Roman"/>
          <w:sz w:val="20"/>
        </w:rPr>
        <w:t>” and collectively, the “</w:t>
      </w:r>
      <w:r>
        <w:rPr>
          <w:rFonts w:ascii="Times New Roman" w:hAnsi="Times New Roman"/>
          <w:b/>
          <w:sz w:val="20"/>
        </w:rPr>
        <w:t>NRA Investors</w:t>
      </w:r>
      <w:r>
        <w:rPr>
          <w:rFonts w:ascii="Times New Roman" w:hAnsi="Times New Roman"/>
          <w:sz w:val="20"/>
        </w:rPr>
        <w:t xml:space="preserve">”) and Sponsor in accordance with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Pursuant to the Non-Redemption Agreements, the NRA Investors agreed not to redeem an aggregate of 276,646 Class A ordinary shares of Live Oak (the “</w:t>
      </w:r>
      <w:r>
        <w:rPr>
          <w:rFonts w:ascii="Times New Roman" w:hAnsi="Times New Roman"/>
          <w:b/>
          <w:sz w:val="20"/>
        </w:rPr>
        <w:t>Non-Redeemed Shares</w:t>
      </w:r>
      <w:r>
        <w:rPr>
          <w:rFonts w:ascii="Times New Roman" w:hAnsi="Times New Roman"/>
          <w:sz w:val="20"/>
        </w:rPr>
        <w:t xml:space="preserve">”) at the Extraordinary General Meeting. In exchange for the foregoing commitment to Live Oak to not redeem the Non-Redeemed Shares, the Sponsor agreed to transfer to the NRA Investors, contemporaneously with the Closing, an aggregate of 37,171 shares of Class B Common Stock held by the Sponsor, provided that such NRA Investors do not exercise their respective redemption rights with respect to the Non-Redeemed Shares in connection with the Extraordinary General Meeting. The foregoing description of the Non-Redemption Agreements does not purport to be complete and is qualified in its entirety by reference to the Form of Non-Redemption Agreement attached hereto as Exhibit 10.17, which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1, 2026, in connection with the Business Combination, Live Oak entered into an agreement (the “Forward Purchase Agreement”) with a fund sub-advised by JBA Asset Management LLC for an OTC Equity Prepaid Forward Transaction to purchase shares of Common Stock. Capitalized terms used but not otherwise defined in this subsection have the meanings ascribed to them in the Forward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Forward Purchase Agreement, upon consummation of the Business Combination, Live Oak will pay to the FPA Investor, from funds remaining in the trust account established by Live Oak at the time of Live Oak’s initial public offering (the “Trust Account”), after satisfaction of required redemption payments, an amount (the “Prepayment Amount”) equal to the product of the number of Subject Shares (as defined below, up to a maximum number of 4,000,000 shares) multiplied by an amount determined as of five (5) exchange business days prior to the Closing Date (“Initial Price”), subject to adjustment for share splits, share dividends, combinations or recapitalizations occurring after the Closing, and Live Oak or the Company will also reimburse the FPA Investor for certain expenses at the Closing or upon earlier termination of the Forward Purchase Agreement,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Forward Purchase Agreement, the FPA Investor purchased 4,000,000 Public Shares from third-parties on the open market prior to the Closing. The 4,000,000 shares were not redeemed pursuant to the terms of the Forward Purchase Agreement. The funds remaining in the Trust Account as a result of the 4,000,000 shares that were not redeemed were used to settle the Prepayment Amount owed to the FPA Investor. The Prepayment Amount was determined to be $42.2 million based on an Initial Price of $10.56. The Company believes that the substance of this payment is akin to a subscription receivable for shares in the Company.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the payment of the Prepayment Amount has been presented as a reduction of equity. Additionally, the Company recognized a derivative liability that represents the estimated fair value of the Company’s settlement obligations under the Forward Purchase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of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was accounted for as a reverse recapitalization in accordance with GAAP. Under this method of accounting, Live Oak was treated as the “acquired” company and Teamshares was treated as the accounting acquirer for financial statement reporting purposes. Accordingly, the Business Combination is being treated as the equivalent of Teamshares issuing stock for the net assets of Live Oak, accompanied by a recapitalization. The net assets of Live Oak will be stated at historical cost, with no goodwill or other intangible assets recorded. Operations prior to the Business Combination will be presented as those of Teamshares.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Teamshares Stockholders as of the First Effective Time received shares of Common Stock with an aggregate value equal to the Stockholder Merger Consideration, with the number of such Merger Consideration Shares to be determined based on a value of $10.00 per share. Other than Company Options which are in-the-money as of the First Effective Time, all Teamshares options, warrants and any other securities convertible or exchangeable for Teamshares shares that remain unexercised were terminated as of the First Effective Time. In addition, qualifying Earnout Participants received a right to certain Earnout Shares, if any such shares are issued upon the achievement, if any, of specified share price targets or other events or conditions which may occur during the post-Closing Earnout Period. </w:t>
      </w:r>
    </w:p>
    <w:p>
      <w:pPr>
        <w:pStyle w:val="TextBody"/>
        <w:bidi w:val="0"/>
        <w:spacing w:before="240" w:after="0"/>
        <w:jc w:val="left"/>
        <w:rPr>
          <w:rFonts w:ascii="Times New Roman" w:hAnsi="Times New Roman"/>
          <w:sz w:val="20"/>
        </w:rPr>
      </w:pPr>
      <w:r>
        <w:rPr>
          <w:rFonts w:ascii="Times New Roman" w:hAnsi="Times New Roman"/>
          <w:sz w:val="20"/>
        </w:rPr>
        <w:t xml:space="preserve">Teamshares has been determined to be the accounting acquirer based on evaluation of the following facts and circumstances as of immediately following the Closing: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of Teamshares have the greatest voting interest in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of Teamshares have the ability to control decisions regarding election and removal of directors and officers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Teamshares’ operations prior to the Business Combination comprise the only ongoing operations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Teamshares’ existing senior management comprise the senior management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Teamshares is the larger entity (relative to Live Oak) based on historical operating activity and its larger employee base.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Additional Accounting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Teamshares is assessing the accounting related to the Business Combination and the treatment related to the following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Earnout Shares—Teamshares management is currently evaluating the accounting treatment related to the portion of the Earnout Shares attributed to Eligible Optionholders who satisfy the applicable eligibility criteria as of a Trigger Date. These are considered a separate unit of account from the Earnout Shares attributed to Teamshares Stockholders. For purposes of the unaudited pro forma condensed combined financial information, the company has preliminarily treated the portion of these Earnout Shares subject to continued service requirements as stock-based compensation and classified them as equity. However, the evaluation and finalization of accounting conclusions, including any related compensation expense, are ongoing and subject to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Live Oak Public Warrants and Private Warrants—Live Oak Public Warrants and Private Warrants are accounted for as equity instruments in the historical financial statements of Live Oak. Based on existing terms and no anticipated modifications, Teamshares management preliminarily expects that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 classification for the Public Warrants and Private Warrants will continue to be appropriate for the Company warrants issued at Closing in respect of the Live Oak Public Warrants and Private Warrants; provided, that Teamshares management may continue to analyze this treatment, with final conclusions to be determined as described immediately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Contingent Payment to HBC—On December 23, 2025, certain subsidiaries of Teamshares entered into the HBC Credit Facility, which had approximately $33.9 million in principal outstanding as of March 31, 2026. As additional consideration for entering into the HBC Credit Facility, Teamshares agreed, pursuant to the HBC-Teamshares Fee Letter, to pay “</w:t>
            </w:r>
            <w:r>
              <w:rPr>
                <w:rFonts w:ascii="Times New Roman" w:hAnsi="Times New Roman"/>
                <w:b/>
                <w:sz w:val="20"/>
              </w:rPr>
              <w:t>HBC Fee</w:t>
            </w:r>
            <w:r>
              <w:rPr>
                <w:rFonts w:ascii="Times New Roman" w:hAnsi="Times New Roman"/>
                <w:sz w:val="20"/>
              </w:rPr>
              <w:t xml:space="preserve">” upon a future, post-Business Combination date, subject to and contingent upon the consummation of the Business Combination, which HBC Fees may, in the discretion of Teamshares, be deliverable in the form of (i) shares of Common Stock (with the number of such shares of Common Stock to be determined based on the arithmetic average of the daily volume-weighted average trading price of shares of Company Common Stock during the seven (7) full trading days immediately preceding the date of issuance of such shares) or (ii) cash, in an amount equal to $1 million ; and provided, further, that Teamshares may be required to deliver the HBC Fees in cash if certain conditions set forth in the HBC-Teamshares Fee Letter are not satisfied in connection with the Business Combination or during the post-Closing period preceding the HBC Fee required payment date, in each case in accordance with the terms of the HBC-Teamshares Fee Letter. See Note 9, “Debt” to the Teamshares Inc. audited annual consolidated financial statements included elsewhere in this Prospectus for further discussion of the HBC Credit Facility. As of the date hereof, management has not concluded whether the $1.0 million liability will be paid in cash or in shares of Common Stock. Therefore, for purposes of the pro forma presentation, management has reflected the $1.0 million base HBC Fee in the form of cash payment in the Unaudited Pro Forma Condensed Combined Balance Sheet to reflect the settlement of this liability, representing the minimum amount payable upon consummation of the Business Combination. Management of the Company will finalize their election to settle this liability in cash or Common Stock on the earlier of 1) 30 days following the effectiveness of the registration statement covering the resale of the Initial PIPE Shares or 2) one year following the Closing.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to the extent otherwise noted above, the final accounting treatment related to the Business Combination, including the accounting treatment of Earnout Shares, Public Warrants, and Private Placement Warrants and potential post-Closing HBC Fee obligations will be finalized by Teamshares and reported in the first reporting period following the consummation of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Post-Transaction Reporting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After the Business Combination is consummated, Teamshares’ historical financial statements will replace those of Live Oak beginning with the filing of the financial statements that first include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 forma Ownership after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presents the post-Closing share ownership of New Teamshares outstanding shares immediately after the Closing excluding the dilutive effect of (i) shares of Common Stock underlying the Assumed Vested Options, (ii) the Earnout Shares, (iii) the Founder Post-Closing Restricted Shares, (iv) the New Teamshares Warrants issued at the Closing in respect of Live Oak Private Placement Warrants, and (v) the New Teamshares Warrants issued at the Closing in respect of Live Oak Public Warrants.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34"/>
        <w:gridCol w:w="307"/>
        <w:gridCol w:w="60"/>
        <w:gridCol w:w="1204"/>
        <w:gridCol w:w="60"/>
        <w:gridCol w:w="307"/>
        <w:gridCol w:w="60"/>
        <w:gridCol w:w="383"/>
        <w:gridCol w:w="340"/>
      </w:tblGrid>
      <w:tr>
        <w:trPr/>
        <w:tc>
          <w:tcPr>
            <w:tcW w:w="5034"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50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Equity Capitalization Summary</w:t>
            </w:r>
          </w:p>
        </w:tc>
        <w:tc>
          <w:tcPr>
            <w:tcW w:w="307" w:type="dxa"/>
            <w:tcBorders/>
            <w:vAlign w:val="bottom"/>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40" w:type="dxa"/>
            <w:tcBorders/>
            <w:vAlign w:val="bottom"/>
          </w:tcPr>
          <w:p>
            <w:pPr>
              <w:pStyle w:val="TableContents"/>
              <w:bidi w:val="0"/>
              <w:spacing w:before="0" w:after="283"/>
              <w:jc w:val="left"/>
              <w:rPr/>
            </w:pPr>
            <w:r>
              <w:rPr/>
              <w:t> </w:t>
            </w:r>
          </w:p>
        </w:tc>
      </w:tr>
      <w:tr>
        <w:trPr/>
        <w:tc>
          <w:tcPr>
            <w:tcW w:w="5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Former Live Oak Public Shareholders</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561,341</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right"/>
              <w:rPr/>
            </w:pPr>
            <w:r>
              <w:rPr/>
              <w:t>1</w:t>
            </w:r>
          </w:p>
        </w:tc>
        <w:tc>
          <w:tcPr>
            <w:tcW w:w="340" w:type="dxa"/>
            <w:tcBorders/>
            <w:shd w:fill="CCEEFF" w:val="clear"/>
            <w:vAlign w:val="bottom"/>
          </w:tcPr>
          <w:p>
            <w:pPr>
              <w:pStyle w:val="TableContents"/>
              <w:bidi w:val="0"/>
              <w:spacing w:before="0" w:after="283"/>
              <w:jc w:val="left"/>
              <w:rPr/>
            </w:pPr>
            <w:r>
              <w:rPr/>
              <w:t>% </w:t>
            </w:r>
          </w:p>
        </w:tc>
      </w:tr>
      <w:tr>
        <w:trPr/>
        <w:tc>
          <w:tcPr>
            <w:tcW w:w="5034" w:type="dxa"/>
            <w:tcBorders/>
          </w:tcPr>
          <w:p>
            <w:pPr>
              <w:pStyle w:val="TableContents"/>
              <w:bidi w:val="0"/>
              <w:spacing w:before="0" w:after="0"/>
              <w:jc w:val="left"/>
              <w:rPr>
                <w:rFonts w:ascii="Times New Roman" w:hAnsi="Times New Roman"/>
                <w:sz w:val="20"/>
              </w:rPr>
            </w:pPr>
            <w:r>
              <w:rPr>
                <w:rFonts w:ascii="Times New Roman" w:hAnsi="Times New Roman"/>
                <w:sz w:val="20"/>
              </w:rPr>
              <w:t>Sponsor(1)</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3,450,000</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5</w:t>
            </w:r>
          </w:p>
        </w:tc>
        <w:tc>
          <w:tcPr>
            <w:tcW w:w="340" w:type="dxa"/>
            <w:tcBorders/>
            <w:vAlign w:val="bottom"/>
          </w:tcPr>
          <w:p>
            <w:pPr>
              <w:pStyle w:val="TableContents"/>
              <w:bidi w:val="0"/>
              <w:spacing w:before="0" w:after="283"/>
              <w:jc w:val="left"/>
              <w:rPr/>
            </w:pPr>
            <w:r>
              <w:rPr/>
              <w:t>% </w:t>
            </w:r>
          </w:p>
        </w:tc>
      </w:tr>
      <w:tr>
        <w:trPr/>
        <w:tc>
          <w:tcPr>
            <w:tcW w:w="5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PIPE Investors(3)</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13,750,000</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right"/>
              <w:rPr/>
            </w:pPr>
            <w:r>
              <w:rPr/>
              <w:t>19</w:t>
            </w:r>
          </w:p>
        </w:tc>
        <w:tc>
          <w:tcPr>
            <w:tcW w:w="340" w:type="dxa"/>
            <w:tcBorders/>
            <w:shd w:fill="CCEEFF" w:val="clear"/>
            <w:vAlign w:val="bottom"/>
          </w:tcPr>
          <w:p>
            <w:pPr>
              <w:pStyle w:val="TableContents"/>
              <w:bidi w:val="0"/>
              <w:spacing w:before="0" w:after="283"/>
              <w:jc w:val="left"/>
              <w:rPr/>
            </w:pPr>
            <w:r>
              <w:rPr/>
              <w:t>% </w:t>
            </w:r>
          </w:p>
        </w:tc>
      </w:tr>
      <w:tr>
        <w:trPr/>
        <w:tc>
          <w:tcPr>
            <w:tcW w:w="5034" w:type="dxa"/>
            <w:tcBorders/>
          </w:tcPr>
          <w:p>
            <w:pPr>
              <w:pStyle w:val="TableContents"/>
              <w:bidi w:val="0"/>
              <w:spacing w:before="0" w:after="0"/>
              <w:jc w:val="left"/>
              <w:rPr>
                <w:rFonts w:ascii="Times New Roman" w:hAnsi="Times New Roman"/>
                <w:sz w:val="20"/>
              </w:rPr>
            </w:pPr>
            <w:r>
              <w:rPr>
                <w:rFonts w:ascii="Times New Roman" w:hAnsi="Times New Roman"/>
                <w:sz w:val="20"/>
              </w:rPr>
              <w:t>Teamshares Stockholders(2)</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49,435,918</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69</w:t>
            </w:r>
          </w:p>
        </w:tc>
        <w:tc>
          <w:tcPr>
            <w:tcW w:w="340" w:type="dxa"/>
            <w:tcBorders/>
            <w:vAlign w:val="bottom"/>
          </w:tcPr>
          <w:p>
            <w:pPr>
              <w:pStyle w:val="TableContents"/>
              <w:bidi w:val="0"/>
              <w:spacing w:before="0" w:after="283"/>
              <w:jc w:val="left"/>
              <w:rPr/>
            </w:pPr>
            <w:r>
              <w:rPr/>
              <w:t>% </w:t>
            </w:r>
          </w:p>
        </w:tc>
      </w:tr>
      <w:tr>
        <w:trPr/>
        <w:tc>
          <w:tcPr>
            <w:tcW w:w="5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SAFE Investors(4)</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751,343</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right"/>
              <w:rPr/>
            </w:pPr>
            <w:r>
              <w:rPr/>
              <w:t>1</w:t>
            </w:r>
          </w:p>
        </w:tc>
        <w:tc>
          <w:tcPr>
            <w:tcW w:w="340" w:type="dxa"/>
            <w:tcBorders/>
            <w:shd w:fill="CCEEFF" w:val="clear"/>
            <w:vAlign w:val="bottom"/>
          </w:tcPr>
          <w:p>
            <w:pPr>
              <w:pStyle w:val="TableContents"/>
              <w:bidi w:val="0"/>
              <w:spacing w:before="0" w:after="283"/>
              <w:jc w:val="left"/>
              <w:rPr/>
            </w:pPr>
            <w:r>
              <w:rPr/>
              <w:t>% </w:t>
            </w:r>
          </w:p>
        </w:tc>
      </w:tr>
      <w:tr>
        <w:trPr/>
        <w:tc>
          <w:tcPr>
            <w:tcW w:w="5034" w:type="dxa"/>
            <w:tcBorders/>
          </w:tcPr>
          <w:p>
            <w:pPr>
              <w:pStyle w:val="TableContents"/>
              <w:bidi w:val="0"/>
              <w:spacing w:before="0" w:after="0"/>
              <w:jc w:val="left"/>
              <w:rPr>
                <w:rFonts w:ascii="Times New Roman" w:hAnsi="Times New Roman"/>
                <w:sz w:val="20"/>
              </w:rPr>
            </w:pPr>
            <w:r>
              <w:rPr>
                <w:rFonts w:ascii="Times New Roman" w:hAnsi="Times New Roman"/>
                <w:sz w:val="20"/>
              </w:rPr>
              <w:t>FPA Investor(5)</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4,000,000</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6</w:t>
            </w:r>
          </w:p>
        </w:tc>
        <w:tc>
          <w:tcPr>
            <w:tcW w:w="340" w:type="dxa"/>
            <w:tcBorders/>
            <w:vAlign w:val="bottom"/>
          </w:tcPr>
          <w:p>
            <w:pPr>
              <w:pStyle w:val="TableContents"/>
              <w:bidi w:val="0"/>
              <w:spacing w:before="0" w:after="283"/>
              <w:jc w:val="left"/>
              <w:rPr/>
            </w:pPr>
            <w:r>
              <w:rPr/>
              <w:t>% </w:t>
            </w:r>
          </w:p>
        </w:tc>
      </w:tr>
      <w:tr>
        <w:trPr/>
        <w:tc>
          <w:tcPr>
            <w:tcW w:w="5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Other(6)</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37,171</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right"/>
              <w:rPr/>
            </w:pPr>
            <w:r>
              <w:rPr/>
              <w:t>0</w:t>
            </w:r>
          </w:p>
        </w:tc>
        <w:tc>
          <w:tcPr>
            <w:tcW w:w="340" w:type="dxa"/>
            <w:tcBorders/>
            <w:shd w:fill="CCEEFF" w:val="clear"/>
            <w:vAlign w:val="bottom"/>
          </w:tcPr>
          <w:p>
            <w:pPr>
              <w:pStyle w:val="TableContents"/>
              <w:bidi w:val="0"/>
              <w:spacing w:before="0" w:after="283"/>
              <w:jc w:val="left"/>
              <w:rPr/>
            </w:pPr>
            <w:r>
              <w:rPr/>
              <w:t>% </w:t>
            </w:r>
          </w:p>
        </w:tc>
      </w:tr>
      <w:tr>
        <w:trPr/>
        <w:tc>
          <w:tcPr>
            <w:tcW w:w="5034"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340" w:type="dxa"/>
            <w:tcBorders/>
            <w:vAlign w:val="center"/>
          </w:tcPr>
          <w:p>
            <w:pPr>
              <w:pStyle w:val="TableContents"/>
              <w:bidi w:val="0"/>
              <w:spacing w:before="0" w:after="283"/>
              <w:jc w:val="left"/>
              <w:rPr/>
            </w:pPr>
            <w:r>
              <w:rPr/>
              <w:t> </w:t>
            </w:r>
          </w:p>
        </w:tc>
      </w:tr>
      <w:tr>
        <w:trPr/>
        <w:tc>
          <w:tcPr>
            <w:tcW w:w="503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b/>
              </w:rPr>
            </w:pPr>
            <w:r>
              <w:rPr>
                <w:b/>
              </w:rPr>
              <w:t>71,985,774</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b/>
              </w:rPr>
            </w:pPr>
            <w:r>
              <w:rPr>
                <w:b/>
              </w:rPr>
              <w:t>100</w:t>
            </w:r>
          </w:p>
        </w:tc>
        <w:tc>
          <w:tcPr>
            <w:tcW w:w="340" w:type="dxa"/>
            <w:tcBorders/>
            <w:vAlign w:val="bottom"/>
          </w:tcPr>
          <w:p>
            <w:pPr>
              <w:pStyle w:val="TableContents"/>
              <w:bidi w:val="0"/>
              <w:spacing w:before="0" w:after="283"/>
              <w:jc w:val="left"/>
              <w:rPr>
                <w:b/>
              </w:rPr>
            </w:pPr>
            <w:r>
              <w:rPr>
                <w:b/>
              </w:rPr>
              <w:t>% </w:t>
            </w:r>
          </w:p>
        </w:tc>
      </w:tr>
      <w:tr>
        <w:trPr/>
        <w:tc>
          <w:tcPr>
            <w:tcW w:w="5034"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383" w:type="dxa"/>
            <w:tcBorders/>
            <w:vAlign w:val="bottom"/>
          </w:tcPr>
          <w:p>
            <w:pPr>
              <w:pStyle w:val="TableContents"/>
              <w:pBdr>
                <w:top w:val="double" w:sz="6" w:space="1" w:color="000000"/>
              </w:pBdr>
              <w:bidi w:val="0"/>
              <w:spacing w:before="0" w:after="0"/>
              <w:jc w:val="left"/>
              <w:rPr/>
            </w:pPr>
            <w:r>
              <w:rPr/>
              <w:t> </w:t>
            </w:r>
          </w:p>
        </w:tc>
        <w:tc>
          <w:tcPr>
            <w:tcW w:w="34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(i) 1,150,000 Founder Post-Closing Restricted Shares, which are subject to vesting upon the occurrence of the Founder Share Tier I Share Price Target and Founder Share Tier II Share Price Target or upon the occurrence of a Qualifying Change of Control during the Founder Share Measurement Period; and (ii) 524,765 remaining Incentive Founder Shares. Live Oak used a total of 100,471 Incentive Founder Shares to incentivize commitments from certain investors in Financing Transactions, secure Trust Account non-redemption or backstop arrangements or otherwise provide support in connection with any financing transaction (inclusive of the SAFE Investor Founder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in Common Stock issued at Closing to Teamshares Stockholders in respect of outstanding Teamshares shares as of immediately prior to the First Effective Time, including, without limitation, any holders of Teamshares stock issued upon exchange or conversion of Company securities issued in Interim Period Financing Transactions, if any, and excludes Earnout Shares, as well as any Initial PIPE Shares issuable at the Closing to Teamshares PIPE Investors. For pro forma shares calculation purposes, Stockholder Merger Consideration has been allocated amongst the Teamshares Stockholders based on such holders’ anticipated Pro Rata Shares (as defined in the Merger Agreement) as of the First Effective Time, taking into account among other assumptions, that (i) holders of all of the outstanding shares of Company Series D-1 Preferred Stock, Company Series D-2 Preferred Stock, Company Series D-NV Preferred Stock, Company Series E Preferred Stock and Company Series E-NV Preferred Stock have elected to receive their liquidation preference, and based on actual Liquidation Preference Elections received by Teamshares from Eligible Preferred Holders as of the date of this Prospectus (including that holders of all of the outstanding shares of Company Series C-2 Preferred Stock have waived their Liquidation Preference Election rights and, instead, had their shares of Company Series C-2 Preferred Stock converted into shares of Company Common Stock in accordance with the Mandatory Conversion procedures described in further detail elsewhere in this Prospectus), and holders of a portion of the outstanding shares of Company Series C-1 Preferred Stock have made Liquidation Preference Elections and the remainder have Mandatory Conversion Elections, and that (ii) prior to the First Effective Time, outstanding Company Warrants to purchase 77,258 shares of Company Common Stock are net exercised for 48,988 shares of Company Common Stock prior to the First Effective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consummation of the approximately $126.5 million Initial PIPE Investment transaction in accordance with the terms of the Initial PIPE Subscription Agreements and includes the issuance of 13,750,000 shares of Common Stock to the Initial PIPE Investors (including Teamshares PIPE Investors).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terms of the Teamshares SAFEs, each of such SAFEs automatically converts at the Closing into shares of the Common Stock.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held by the FPA Investor.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Incentive Founder Shares issued to investors who entered into NRAs.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120" w:after="0"/>
        <w:jc w:val="left"/>
        <w:rPr>
          <w:rFonts w:ascii="Times New Roman" w:hAnsi="Times New Roman"/>
          <w:b/>
          <w:sz w:val="20"/>
        </w:rPr>
      </w:pPr>
      <w:r>
        <w:rPr>
          <w:rFonts w:ascii="Times New Roman" w:hAnsi="Times New Roman"/>
          <w:b/>
          <w:sz w:val="20"/>
        </w:rPr>
        <w:t xml:space="preserve">As of March 31, 2026 ($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4"/>
        <w:gridCol w:w="186"/>
        <w:gridCol w:w="74"/>
        <w:gridCol w:w="1067"/>
        <w:gridCol w:w="60"/>
        <w:gridCol w:w="186"/>
        <w:gridCol w:w="87"/>
        <w:gridCol w:w="1253"/>
        <w:gridCol w:w="60"/>
        <w:gridCol w:w="186"/>
        <w:gridCol w:w="84"/>
        <w:gridCol w:w="1307"/>
        <w:gridCol w:w="155"/>
        <w:gridCol w:w="134"/>
        <w:gridCol w:w="60"/>
        <w:gridCol w:w="304"/>
        <w:gridCol w:w="155"/>
        <w:gridCol w:w="134"/>
        <w:gridCol w:w="75"/>
        <w:gridCol w:w="1079"/>
        <w:gridCol w:w="65"/>
      </w:tblGrid>
      <w:tr>
        <w:trPr/>
        <w:tc>
          <w:tcPr>
            <w:tcW w:w="3494"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49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Live Oak</w:t>
              <w:br/>
              <w:t>(Historical)</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Teamshares</w:t>
              <w:br/>
              <w:t>(Historical)</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Adjustments</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6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07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1,124</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37,030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74,490</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112,644</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Due from Sponsor</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1</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10,801</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10,801</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23,049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23,049</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51,028</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51,028</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3,036</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3,116</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2,186</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(1,120</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right"/>
              <w:rPr/>
            </w:pPr>
            <w:r>
              <w:rPr/>
              <w:t>(M</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1,066</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b/>
              </w:rPr>
            </w:pPr>
            <w:r>
              <w:rPr>
                <w:b/>
              </w:rPr>
              <w:t>1,206</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b/>
              </w:rPr>
            </w:pPr>
            <w:r>
              <w:rPr>
                <w:b/>
              </w:rPr>
              <w:t>127,129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b/>
              </w:rPr>
            </w:pPr>
            <w:r>
              <w:rPr>
                <w:b/>
              </w:rPr>
              <w:t>201,705</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 Term Assets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425</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425</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29,998</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29,998</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Net</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93,517</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93,517</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Net</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245,439</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245,439</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Internally Developed Software, Net</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6,263</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6,263</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 Net</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12,346</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12,346</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Long-Term Prepaid Insurance</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12,625</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12,625</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241,144</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(241,144</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right"/>
              <w:rPr/>
            </w:pPr>
            <w:r>
              <w:rPr/>
              <w:t>(B</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Long-Term Assets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b/>
              </w:rPr>
            </w:pPr>
            <w:r>
              <w:rPr>
                <w:b/>
              </w:rPr>
              <w:t>241,144</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b/>
              </w:rPr>
            </w:pPr>
            <w:r>
              <w:rPr>
                <w:b/>
              </w:rPr>
              <w:t>400,613</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b/>
              </w:rPr>
            </w:pPr>
            <w:r>
              <w:rPr>
                <w:b/>
              </w:rPr>
              <w:t>400,613</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b/>
              </w:rPr>
            </w:pPr>
            <w:r>
              <w:rPr>
                <w:b/>
              </w:rPr>
              <w:t>242,350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b/>
              </w:rPr>
            </w:pPr>
            <w:r>
              <w:rPr>
                <w:b/>
              </w:rPr>
              <w:t>527,742</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b/>
              </w:rPr>
            </w:pPr>
            <w:r>
              <w:rPr>
                <w:b/>
              </w:rPr>
              <w:t>602,318</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07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29,467</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(4,308</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right"/>
              <w:rPr/>
            </w:pPr>
            <w:r>
              <w:rPr/>
              <w:t>(L</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25,159</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1,777</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10,830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(1,777</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10,830</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Offering Costs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75</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(75</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14,587</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14,587</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2,408</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2,408</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Short-Term Debt and Current Portion of Long- Term Debt</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214,175</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(37,060</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right"/>
              <w:rPr/>
            </w:pPr>
            <w:r>
              <w:rPr/>
              <w:t>(J</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177,115</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Obligations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9,079</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9,079</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12,567</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12,567</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1,852</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293,113</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251,745</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Long-Term Liabilities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07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2,881</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(2,881</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right"/>
              <w:rPr/>
            </w:pPr>
            <w:r>
              <w:rPr/>
              <w:t>(N</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6,009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6,009</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86,029</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86,029</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 Obligations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87,881</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87,881</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9,903</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(4,100</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right"/>
              <w:rPr/>
            </w:pPr>
            <w:r>
              <w:rPr/>
              <w:t>(O</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5,803</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Teamshares Earnout Shares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41,622</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right"/>
              <w:rPr/>
            </w:pPr>
            <w:r>
              <w:rPr/>
              <w:t>(I</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41,622</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Founder Shares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14,646</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right"/>
              <w:rPr/>
            </w:pPr>
            <w:r>
              <w:rPr/>
              <w:t>(K</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14,646</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Deferred Advisory Fee</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6,900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(6,900</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Underwriting Fee</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6,900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(6,900</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PIPE Subscription Agreements Liability</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16,539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(16,539</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right"/>
              <w:rPr/>
            </w:pPr>
            <w:r>
              <w:rPr/>
              <w:t>(Q</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Forward Purchase Agreement Liability</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8,083</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right"/>
              <w:rPr/>
            </w:pPr>
            <w:r>
              <w:rPr/>
              <w:t>(R</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8,083</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Long-Term Liabilities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b/>
              </w:rPr>
            </w:pPr>
            <w:r>
              <w:rPr>
                <w:b/>
              </w:rPr>
              <w:t>30,339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b/>
              </w:rPr>
            </w:pPr>
            <w:r>
              <w:rPr>
                <w:b/>
              </w:rPr>
              <w:t>192,703</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b/>
              </w:rPr>
            </w:pPr>
            <w:r>
              <w:rPr>
                <w:b/>
              </w:rPr>
              <w:t>250,073</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b/>
              </w:rPr>
            </w:pPr>
            <w:r>
              <w:rPr>
                <w:b/>
              </w:rPr>
              <w:t>32,191</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b/>
              </w:rPr>
            </w:pPr>
            <w:r>
              <w:rPr>
                <w:b/>
              </w:rPr>
              <w:t>485,816</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b/>
              </w:rPr>
            </w:pPr>
            <w:r>
              <w:rPr>
                <w:b/>
              </w:rPr>
              <w:t>501,818</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Redeemable Noncontrolling Interests</w:t>
            </w:r>
          </w:p>
        </w:tc>
        <w:tc>
          <w:tcPr>
            <w:tcW w:w="18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1,762</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1,762</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Live Oak Class A Ordinary Shares Subject to Possible Redemption</w:t>
            </w:r>
          </w:p>
        </w:tc>
        <w:tc>
          <w:tcPr>
            <w:tcW w:w="18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241,144</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(241,144</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424"/>
        <w:gridCol w:w="182"/>
        <w:gridCol w:w="74"/>
        <w:gridCol w:w="1052"/>
        <w:gridCol w:w="155"/>
        <w:gridCol w:w="131"/>
        <w:gridCol w:w="80"/>
        <w:gridCol w:w="1240"/>
        <w:gridCol w:w="155"/>
        <w:gridCol w:w="131"/>
        <w:gridCol w:w="106"/>
        <w:gridCol w:w="1270"/>
        <w:gridCol w:w="154"/>
        <w:gridCol w:w="131"/>
        <w:gridCol w:w="60"/>
        <w:gridCol w:w="275"/>
        <w:gridCol w:w="155"/>
        <w:gridCol w:w="131"/>
        <w:gridCol w:w="69"/>
        <w:gridCol w:w="1069"/>
        <w:gridCol w:w="161"/>
      </w:tblGrid>
      <w:tr>
        <w:trPr/>
        <w:tc>
          <w:tcPr>
            <w:tcW w:w="3424"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4"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Live Oak</w:t>
              <w:br/>
              <w:t>(Historical)</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Teamshares</w:t>
              <w:br/>
              <w:t>(Historical)</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Adjustments</w:t>
            </w:r>
          </w:p>
        </w:tc>
        <w:tc>
          <w:tcPr>
            <w:tcW w:w="15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1" w:type="dxa"/>
            <w:tcBorders/>
            <w:vAlign w:val="bottom"/>
          </w:tcPr>
          <w:p>
            <w:pPr>
              <w:pStyle w:val="TableContents"/>
              <w:bidi w:val="0"/>
              <w:spacing w:before="0" w:after="283"/>
              <w:jc w:val="left"/>
              <w:rPr/>
            </w:pPr>
            <w:r>
              <w:rPr/>
              <w:t> </w:t>
            </w:r>
          </w:p>
        </w:tc>
      </w:tr>
      <w:tr>
        <w:trPr/>
        <w:tc>
          <w:tcPr>
            <w:tcW w:w="34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18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127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424" w:type="dxa"/>
            <w:tcBorders/>
          </w:tcPr>
          <w:p>
            <w:pPr>
              <w:pStyle w:val="TableContents"/>
              <w:bidi w:val="0"/>
              <w:spacing w:before="0" w:after="0"/>
              <w:jc w:val="left"/>
              <w:rPr>
                <w:rFonts w:ascii="Times New Roman" w:hAnsi="Times New Roman"/>
                <w:sz w:val="20"/>
              </w:rPr>
            </w:pPr>
            <w:r>
              <w:rPr>
                <w:rFonts w:ascii="Times New Roman" w:hAnsi="Times New Roman"/>
                <w:sz w:val="20"/>
              </w:rPr>
              <w:t>Teamshares Common Stock</w:t>
            </w:r>
          </w:p>
        </w:tc>
        <w:tc>
          <w:tcPr>
            <w:tcW w:w="18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(P</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Teamshares Preferred Stock</w:t>
            </w:r>
          </w:p>
        </w:tc>
        <w:tc>
          <w:tcPr>
            <w:tcW w:w="18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(P</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424"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8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328,634</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58,696</w:t>
            </w:r>
          </w:p>
        </w:tc>
        <w:tc>
          <w:tcPr>
            <w:tcW w:w="15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(G</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387,330</w:t>
            </w:r>
          </w:p>
        </w:tc>
        <w:tc>
          <w:tcPr>
            <w:tcW w:w="161" w:type="dxa"/>
            <w:tcBorders/>
            <w:vAlign w:val="bottom"/>
          </w:tcPr>
          <w:p>
            <w:pPr>
              <w:pStyle w:val="TableContents"/>
              <w:bidi w:val="0"/>
              <w:spacing w:before="0" w:after="283"/>
              <w:jc w:val="left"/>
              <w:rPr/>
            </w:pPr>
            <w:r>
              <w:rPr/>
              <w:t> </w:t>
            </w:r>
          </w:p>
        </w:tc>
      </w:tr>
      <w:tr>
        <w:trPr/>
        <w:tc>
          <w:tcPr>
            <w:tcW w:w="3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8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(30,986</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(284,652</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30,858</w:t>
            </w:r>
          </w:p>
        </w:tc>
        <w:tc>
          <w:tcPr>
            <w:tcW w:w="15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(H</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(284,780</w:t>
            </w:r>
          </w:p>
        </w:tc>
        <w:tc>
          <w:tcPr>
            <w:tcW w:w="161" w:type="dxa"/>
            <w:tcBorders/>
            <w:shd w:fill="CCEEFF" w:val="clear"/>
            <w:vAlign w:val="bottom"/>
          </w:tcPr>
          <w:p>
            <w:pPr>
              <w:pStyle w:val="TableContents"/>
              <w:bidi w:val="0"/>
              <w:spacing w:before="0" w:after="283"/>
              <w:jc w:val="left"/>
              <w:rPr/>
            </w:pPr>
            <w:r>
              <w:rPr/>
              <w:t>) </w:t>
            </w:r>
          </w:p>
        </w:tc>
      </w:tr>
      <w:tr>
        <w:trPr/>
        <w:tc>
          <w:tcPr>
            <w:tcW w:w="3424"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8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(1,298</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(1,298</w:t>
            </w:r>
          </w:p>
        </w:tc>
        <w:tc>
          <w:tcPr>
            <w:tcW w:w="161" w:type="dxa"/>
            <w:tcBorders/>
            <w:vAlign w:val="bottom"/>
          </w:tcPr>
          <w:p>
            <w:pPr>
              <w:pStyle w:val="TableContents"/>
              <w:bidi w:val="0"/>
              <w:spacing w:before="0" w:after="283"/>
              <w:jc w:val="left"/>
              <w:rPr/>
            </w:pPr>
            <w:r>
              <w:rPr/>
              <w:t>) </w:t>
            </w:r>
          </w:p>
        </w:tc>
      </w:tr>
      <w:tr>
        <w:trPr/>
        <w:tc>
          <w:tcPr>
            <w:tcW w:w="3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Live Oak Preference Shares</w:t>
            </w:r>
          </w:p>
        </w:tc>
        <w:tc>
          <w:tcPr>
            <w:tcW w:w="18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424" w:type="dxa"/>
            <w:tcBorders/>
          </w:tcPr>
          <w:p>
            <w:pPr>
              <w:pStyle w:val="TableContents"/>
              <w:bidi w:val="0"/>
              <w:spacing w:before="0" w:after="0"/>
              <w:jc w:val="left"/>
              <w:rPr>
                <w:rFonts w:ascii="Times New Roman" w:hAnsi="Times New Roman"/>
                <w:sz w:val="20"/>
              </w:rPr>
            </w:pPr>
            <w:r>
              <w:rPr>
                <w:rFonts w:ascii="Times New Roman" w:hAnsi="Times New Roman"/>
                <w:sz w:val="20"/>
              </w:rPr>
              <w:t>Live Oak Class A Ordinary Shares</w:t>
            </w:r>
          </w:p>
        </w:tc>
        <w:tc>
          <w:tcPr>
            <w:tcW w:w="18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Live Oak Class B Ordinary Shares</w:t>
            </w:r>
          </w:p>
        </w:tc>
        <w:tc>
          <w:tcPr>
            <w:tcW w:w="18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w:t>
            </w:r>
          </w:p>
        </w:tc>
        <w:tc>
          <w:tcPr>
            <w:tcW w:w="15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(E</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424"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8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6</w:t>
            </w:r>
          </w:p>
        </w:tc>
        <w:tc>
          <w:tcPr>
            <w:tcW w:w="15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(F</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6</w:t>
            </w:r>
          </w:p>
        </w:tc>
        <w:tc>
          <w:tcPr>
            <w:tcW w:w="161" w:type="dxa"/>
            <w:tcBorders/>
            <w:vAlign w:val="bottom"/>
          </w:tcPr>
          <w:p>
            <w:pPr>
              <w:pStyle w:val="TableContents"/>
              <w:bidi w:val="0"/>
              <w:spacing w:before="0" w:after="283"/>
              <w:jc w:val="left"/>
              <w:rPr/>
            </w:pPr>
            <w:r>
              <w:rPr/>
              <w:t> </w:t>
            </w:r>
          </w:p>
        </w:tc>
      </w:tr>
      <w:tr>
        <w:trPr/>
        <w:tc>
          <w:tcPr>
            <w:tcW w:w="342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Stockholders’ Equity</w:t>
            </w:r>
          </w:p>
        </w:tc>
        <w:tc>
          <w:tcPr>
            <w:tcW w:w="18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(30,985</w:t>
            </w:r>
          </w:p>
        </w:tc>
        <w:tc>
          <w:tcPr>
            <w:tcW w:w="155" w:type="dxa"/>
            <w:tcBorders/>
            <w:shd w:fill="CCEEFF" w:val="clear"/>
            <w:vAlign w:val="bottom"/>
          </w:tcPr>
          <w:p>
            <w:pPr>
              <w:pStyle w:val="TableContents"/>
              <w:bidi w:val="0"/>
              <w:spacing w:before="0" w:after="283"/>
              <w:jc w:val="left"/>
              <w:rPr>
                <w:b/>
              </w:rPr>
            </w:pPr>
            <w:r>
              <w:rPr>
                <w:b/>
              </w:rPr>
              <w:t>) </w:t>
            </w:r>
          </w:p>
        </w:tc>
        <w:tc>
          <w:tcPr>
            <w:tcW w:w="13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b/>
              </w:rPr>
            </w:pPr>
            <w:r>
              <w:rPr>
                <w:b/>
              </w:rPr>
              <w:t>42,684</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b/>
              </w:rPr>
            </w:pPr>
            <w:r>
              <w:rPr>
                <w:b/>
              </w:rPr>
              <w:t>101,258</w:t>
            </w:r>
          </w:p>
        </w:tc>
        <w:tc>
          <w:tcPr>
            <w:tcW w:w="161" w:type="dxa"/>
            <w:tcBorders/>
            <w:shd w:fill="CCEEFF" w:val="clear"/>
            <w:vAlign w:val="bottom"/>
          </w:tcPr>
          <w:p>
            <w:pPr>
              <w:pStyle w:val="TableContents"/>
              <w:bidi w:val="0"/>
              <w:spacing w:before="0" w:after="283"/>
              <w:jc w:val="left"/>
              <w:rPr/>
            </w:pPr>
            <w:r>
              <w:rPr/>
              <w:t> </w:t>
            </w:r>
          </w:p>
        </w:tc>
      </w:tr>
      <w:tr>
        <w:trPr/>
        <w:tc>
          <w:tcPr>
            <w:tcW w:w="3424"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18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(2,521</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(2,521</w:t>
            </w:r>
          </w:p>
        </w:tc>
        <w:tc>
          <w:tcPr>
            <w:tcW w:w="161" w:type="dxa"/>
            <w:tcBorders/>
            <w:vAlign w:val="bottom"/>
          </w:tcPr>
          <w:p>
            <w:pPr>
              <w:pStyle w:val="TableContents"/>
              <w:bidi w:val="0"/>
              <w:spacing w:before="0" w:after="283"/>
              <w:jc w:val="left"/>
              <w:rPr/>
            </w:pPr>
            <w:r>
              <w:rPr/>
              <w:t>) </w:t>
            </w:r>
          </w:p>
        </w:tc>
      </w:tr>
      <w:tr>
        <w:trPr/>
        <w:tc>
          <w:tcPr>
            <w:tcW w:w="342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18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b/>
              </w:rPr>
            </w:pPr>
            <w:r>
              <w:rPr>
                <w:b/>
              </w:rPr>
              <w:t>(30,985</w:t>
            </w:r>
          </w:p>
        </w:tc>
        <w:tc>
          <w:tcPr>
            <w:tcW w:w="155" w:type="dxa"/>
            <w:tcBorders/>
            <w:shd w:fill="CCEEFF" w:val="clear"/>
            <w:vAlign w:val="bottom"/>
          </w:tcPr>
          <w:p>
            <w:pPr>
              <w:pStyle w:val="TableContents"/>
              <w:bidi w:val="0"/>
              <w:spacing w:before="0" w:after="283"/>
              <w:jc w:val="left"/>
              <w:rPr>
                <w:b/>
              </w:rPr>
            </w:pPr>
            <w:r>
              <w:rPr>
                <w:b/>
              </w:rPr>
              <w:t>) </w:t>
            </w:r>
          </w:p>
        </w:tc>
        <w:tc>
          <w:tcPr>
            <w:tcW w:w="13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b/>
              </w:rPr>
            </w:pPr>
            <w:r>
              <w:rPr>
                <w:b/>
              </w:rPr>
              <w:t>40,163</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b/>
              </w:rPr>
            </w:pPr>
            <w:r>
              <w:rPr>
                <w:b/>
              </w:rPr>
              <w:t>98,738</w:t>
            </w:r>
          </w:p>
        </w:tc>
        <w:tc>
          <w:tcPr>
            <w:tcW w:w="161" w:type="dxa"/>
            <w:tcBorders/>
            <w:shd w:fill="CCEEFF" w:val="clear"/>
            <w:vAlign w:val="bottom"/>
          </w:tcPr>
          <w:p>
            <w:pPr>
              <w:pStyle w:val="TableContents"/>
              <w:bidi w:val="0"/>
              <w:spacing w:before="0" w:after="283"/>
              <w:jc w:val="left"/>
              <w:rPr/>
            </w:pPr>
            <w:r>
              <w:rPr/>
              <w:t> </w:t>
            </w:r>
          </w:p>
        </w:tc>
      </w:tr>
      <w:tr>
        <w:trPr/>
        <w:tc>
          <w:tcPr>
            <w:tcW w:w="34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w:t>
            </w:r>
          </w:p>
        </w:tc>
        <w:tc>
          <w:tcPr>
            <w:tcW w:w="18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b/>
              </w:rPr>
            </w:pPr>
            <w:r>
              <w:rPr>
                <w:b/>
              </w:rPr>
              <w:t>242,350</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b/>
              </w:rPr>
            </w:pPr>
            <w:r>
              <w:rPr>
                <w:b/>
              </w:rPr>
              <w:t>527,742</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b/>
              </w:rPr>
            </w:pPr>
            <w:r>
              <w:rPr>
                <w:b/>
              </w:rPr>
              <w:t>602,318</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UNAUDITED PRO FORMA CONDENSED COMBINED INCOME STATEMENT </w:t>
      </w:r>
    </w:p>
    <w:p>
      <w:pPr>
        <w:pStyle w:val="TextBody"/>
        <w:bidi w:val="0"/>
        <w:spacing w:before="120" w:after="0"/>
        <w:jc w:val="left"/>
        <w:rPr>
          <w:rFonts w:ascii="Times New Roman" w:hAnsi="Times New Roman"/>
          <w:b/>
          <w:sz w:val="20"/>
        </w:rPr>
      </w:pPr>
      <w:r>
        <w:rPr>
          <w:rFonts w:ascii="Times New Roman" w:hAnsi="Times New Roman"/>
          <w:b/>
          <w:sz w:val="20"/>
        </w:rPr>
        <w:t xml:space="preserve">For the Three Months Ended March 31, 2026 ($ in thousands except per share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17"/>
        <w:gridCol w:w="217"/>
        <w:gridCol w:w="92"/>
        <w:gridCol w:w="1018"/>
        <w:gridCol w:w="155"/>
        <w:gridCol w:w="166"/>
        <w:gridCol w:w="87"/>
        <w:gridCol w:w="1174"/>
        <w:gridCol w:w="155"/>
        <w:gridCol w:w="166"/>
        <w:gridCol w:w="113"/>
        <w:gridCol w:w="1202"/>
        <w:gridCol w:w="155"/>
        <w:gridCol w:w="166"/>
        <w:gridCol w:w="60"/>
        <w:gridCol w:w="461"/>
        <w:gridCol w:w="154"/>
        <w:gridCol w:w="166"/>
        <w:gridCol w:w="75"/>
        <w:gridCol w:w="1045"/>
        <w:gridCol w:w="161"/>
      </w:tblGrid>
      <w:tr>
        <w:trPr/>
        <w:tc>
          <w:tcPr>
            <w:tcW w:w="3217"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1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Live Oak</w:t>
              <w:br/>
              <w:t>(Historical)</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Teamshares</w:t>
              <w:br/>
              <w:t>(Historical)</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Adjustments</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521" w:type="dxa"/>
            <w:gridSpan w:val="2"/>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1" w:type="dxa"/>
            <w:tcBorders/>
            <w:vAlign w:val="bottom"/>
          </w:tcPr>
          <w:p>
            <w:pPr>
              <w:pStyle w:val="TableContents"/>
              <w:bidi w:val="0"/>
              <w:spacing w:before="0" w:after="283"/>
              <w:jc w:val="left"/>
              <w:rPr/>
            </w:pPr>
            <w:r>
              <w:rPr/>
              <w:t> </w:t>
            </w:r>
          </w:p>
        </w:tc>
      </w:tr>
      <w:tr>
        <w:trPr/>
        <w:tc>
          <w:tcPr>
            <w:tcW w:w="3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121,039</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121,039</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73,096</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73,096</w:t>
            </w:r>
          </w:p>
        </w:tc>
        <w:tc>
          <w:tcPr>
            <w:tcW w:w="161" w:type="dxa"/>
            <w:tcBorders/>
            <w:vAlign w:val="bottom"/>
          </w:tcPr>
          <w:p>
            <w:pPr>
              <w:pStyle w:val="TableContents"/>
              <w:bidi w:val="0"/>
              <w:spacing w:before="0" w:after="283"/>
              <w:jc w:val="left"/>
              <w:rPr/>
            </w:pPr>
            <w:r>
              <w:rPr/>
              <w:t> </w:t>
            </w:r>
          </w:p>
        </w:tc>
      </w:tr>
      <w:tr>
        <w:trPr/>
        <w:tc>
          <w:tcPr>
            <w:tcW w:w="32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b/>
              </w:rPr>
            </w:pPr>
            <w:r>
              <w:rPr>
                <w:b/>
              </w:rPr>
              <w:t>47,943</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b/>
              </w:rPr>
            </w:pPr>
            <w:r>
              <w:rPr>
                <w:b/>
              </w:rPr>
              <w:t>47,943</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 (Income)</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2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04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823</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823</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1,704</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1,704</w:t>
            </w:r>
          </w:p>
        </w:tc>
        <w:tc>
          <w:tcPr>
            <w:tcW w:w="161" w:type="dxa"/>
            <w:tcBorders/>
            <w:vAlign w:val="bottom"/>
          </w:tcPr>
          <w:p>
            <w:pPr>
              <w:pStyle w:val="TableContents"/>
              <w:bidi w:val="0"/>
              <w:spacing w:before="0" w:after="283"/>
              <w:jc w:val="left"/>
              <w:rPr/>
            </w:pPr>
            <w:r>
              <w:rPr/>
              <w:t> </w:t>
            </w:r>
          </w:p>
        </w:tc>
      </w:tr>
      <w:tr>
        <w:trPr/>
        <w:tc>
          <w:tcPr>
            <w:tcW w:w="3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966</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53,014</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1,278</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(AA</w:t>
            </w:r>
          </w:p>
        </w:tc>
        <w:tc>
          <w:tcPr>
            <w:tcW w:w="15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55,258</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Disposition of Assets</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(203</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(203</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b/>
              </w:rPr>
            </w:pPr>
            <w:r>
              <w:rPr>
                <w:b/>
              </w:rPr>
              <w:t>966</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b/>
              </w:rPr>
            </w:pPr>
            <w:r>
              <w:rPr>
                <w:b/>
              </w:rPr>
              <w:t>55,338</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b/>
              </w:rPr>
            </w:pPr>
            <w:r>
              <w:rPr>
                <w:b/>
              </w:rPr>
              <w:t>57,582</w:t>
            </w:r>
          </w:p>
        </w:tc>
        <w:tc>
          <w:tcPr>
            <w:tcW w:w="161" w:type="dxa"/>
            <w:tcBorders/>
            <w:vAlign w:val="bottom"/>
          </w:tcPr>
          <w:p>
            <w:pPr>
              <w:pStyle w:val="TableContents"/>
              <w:bidi w:val="0"/>
              <w:spacing w:before="0" w:after="283"/>
              <w:jc w:val="left"/>
              <w:rPr/>
            </w:pPr>
            <w:r>
              <w:rPr/>
              <w:t> </w:t>
            </w:r>
          </w:p>
        </w:tc>
      </w:tr>
      <w:tr>
        <w:trPr/>
        <w:tc>
          <w:tcPr>
            <w:tcW w:w="32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b/>
              </w:rPr>
            </w:pPr>
            <w:r>
              <w:rPr>
                <w:b/>
              </w:rPr>
              <w:t>(966</w:t>
            </w:r>
          </w:p>
        </w:tc>
        <w:tc>
          <w:tcPr>
            <w:tcW w:w="155" w:type="dxa"/>
            <w:tcBorders/>
            <w:shd w:fill="CCEEFF" w:val="clear"/>
            <w:vAlign w:val="bottom"/>
          </w:tcPr>
          <w:p>
            <w:pPr>
              <w:pStyle w:val="TableContents"/>
              <w:bidi w:val="0"/>
              <w:spacing w:before="0" w:after="283"/>
              <w:jc w:val="left"/>
              <w:rPr>
                <w:b/>
              </w:rPr>
            </w:pPr>
            <w:r>
              <w:rPr>
                <w:b/>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b/>
              </w:rPr>
            </w:pPr>
            <w:r>
              <w:rPr>
                <w:b/>
              </w:rPr>
              <w:t>(7,395</w:t>
            </w:r>
          </w:p>
        </w:tc>
        <w:tc>
          <w:tcPr>
            <w:tcW w:w="155" w:type="dxa"/>
            <w:tcBorders/>
            <w:shd w:fill="CCEEFF" w:val="clear"/>
            <w:vAlign w:val="bottom"/>
          </w:tcPr>
          <w:p>
            <w:pPr>
              <w:pStyle w:val="TableContents"/>
              <w:bidi w:val="0"/>
              <w:spacing w:before="0" w:after="283"/>
              <w:jc w:val="left"/>
              <w:rPr>
                <w:b/>
              </w:rPr>
            </w:pPr>
            <w:r>
              <w:rPr>
                <w:b/>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b/>
              </w:rPr>
            </w:pPr>
            <w:r>
              <w:rPr>
                <w:b/>
              </w:rPr>
              <w:t>(9,639</w:t>
            </w:r>
          </w:p>
        </w:tc>
        <w:tc>
          <w:tcPr>
            <w:tcW w:w="161" w:type="dxa"/>
            <w:tcBorders/>
            <w:shd w:fill="CCEEFF" w:val="clear"/>
            <w:vAlign w:val="bottom"/>
          </w:tcPr>
          <w:p>
            <w:pPr>
              <w:pStyle w:val="TableContents"/>
              <w:bidi w:val="0"/>
              <w:spacing w:before="0" w:after="283"/>
              <w:jc w:val="left"/>
              <w:rPr>
                <w:b/>
              </w:rPr>
            </w:pPr>
            <w:r>
              <w:rPr>
                <w:b/>
              </w:rPr>
              <w:t>) </w:t>
            </w:r>
          </w:p>
        </w:tc>
      </w:tr>
      <w:tr>
        <w:trPr/>
        <w:tc>
          <w:tcPr>
            <w:tcW w:w="3217" w:type="dxa"/>
            <w:tcBorders/>
          </w:tcPr>
          <w:p>
            <w:pPr>
              <w:pStyle w:val="TableContents"/>
              <w:bidi w:val="0"/>
              <w:spacing w:before="0" w:after="0"/>
              <w:jc w:val="left"/>
              <w:rPr>
                <w:rFonts w:ascii="Times New Roman" w:hAnsi="Times New Roman"/>
                <w:b/>
                <w:sz w:val="20"/>
              </w:rPr>
            </w:pPr>
            <w:r>
              <w:rPr>
                <w:rFonts w:ascii="Times New Roman" w:hAnsi="Times New Roman"/>
                <w:b/>
                <w:sz w:val="20"/>
              </w:rPr>
              <w:t>Non-Operating Expenses (Income)</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2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04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15,364</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(6,604</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(FF</w:t>
            </w:r>
          </w:p>
        </w:tc>
        <w:tc>
          <w:tcPr>
            <w:tcW w:w="15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8,760</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Interest Earned on Marketable Securities Held in Trust Account</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(2,102</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2,102</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(BB</w:t>
            </w:r>
          </w:p>
        </w:tc>
        <w:tc>
          <w:tcPr>
            <w:tcW w:w="15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(CC</w:t>
            </w:r>
          </w:p>
        </w:tc>
        <w:tc>
          <w:tcPr>
            <w:tcW w:w="15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(3</w:t>
            </w:r>
          </w:p>
        </w:tc>
        <w:tc>
          <w:tcPr>
            <w:tcW w:w="161" w:type="dxa"/>
            <w:tcBorders/>
            <w:vAlign w:val="bottom"/>
          </w:tcPr>
          <w:p>
            <w:pPr>
              <w:pStyle w:val="TableContents"/>
              <w:bidi w:val="0"/>
              <w:spacing w:before="0" w:after="283"/>
              <w:jc w:val="left"/>
              <w:rPr/>
            </w:pPr>
            <w:r>
              <w:rPr/>
              <w:t>) </w:t>
            </w:r>
          </w:p>
        </w:tc>
      </w:tr>
      <w:tr>
        <w:trPr/>
        <w:tc>
          <w:tcPr>
            <w:tcW w:w="3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(Income) Expenses</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(297</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(297</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Subscription Agreements Liability</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1,265</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(1,265</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pPr>
            <w:r>
              <w:rPr/>
              <w:t>(DD</w:t>
            </w:r>
          </w:p>
        </w:tc>
        <w:tc>
          <w:tcPr>
            <w:tcW w:w="15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PIPE Subscription Agreements Liability</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Initial Loss on Forward Purchase Agreement Liability</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2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Non-Operating Expenses</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b/>
              </w:rPr>
            </w:pPr>
            <w:r>
              <w:rPr>
                <w:b/>
              </w:rPr>
              <w:t>(837</w:t>
            </w:r>
          </w:p>
        </w:tc>
        <w:tc>
          <w:tcPr>
            <w:tcW w:w="155" w:type="dxa"/>
            <w:tcBorders/>
            <w:shd w:fill="CCEEFF" w:val="clear"/>
            <w:vAlign w:val="bottom"/>
          </w:tcPr>
          <w:p>
            <w:pPr>
              <w:pStyle w:val="TableContents"/>
              <w:bidi w:val="0"/>
              <w:spacing w:before="0" w:after="283"/>
              <w:jc w:val="left"/>
              <w:rPr>
                <w:b/>
              </w:rPr>
            </w:pPr>
            <w:r>
              <w:rPr>
                <w:b/>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b/>
              </w:rPr>
            </w:pPr>
            <w:r>
              <w:rPr>
                <w:b/>
              </w:rPr>
              <w:t>15,023</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b/>
              </w:rPr>
            </w:pPr>
            <w:r>
              <w:rPr>
                <w:b/>
              </w:rPr>
              <w:t>8,460</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b/>
              </w:rPr>
            </w:pPr>
            <w:r>
              <w:rPr>
                <w:b/>
              </w:rPr>
              <w:t>(129</w:t>
            </w:r>
          </w:p>
        </w:tc>
        <w:tc>
          <w:tcPr>
            <w:tcW w:w="155" w:type="dxa"/>
            <w:tcBorders/>
            <w:vAlign w:val="bottom"/>
          </w:tcPr>
          <w:p>
            <w:pPr>
              <w:pStyle w:val="TableContents"/>
              <w:bidi w:val="0"/>
              <w:spacing w:before="0" w:after="283"/>
              <w:jc w:val="left"/>
              <w:rPr>
                <w:b/>
              </w:rPr>
            </w:pPr>
            <w:r>
              <w:rPr>
                <w:b/>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b/>
              </w:rPr>
            </w:pPr>
            <w:r>
              <w:rPr>
                <w:b/>
              </w:rPr>
              <w:t>(22,418</w:t>
            </w:r>
          </w:p>
        </w:tc>
        <w:tc>
          <w:tcPr>
            <w:tcW w:w="155" w:type="dxa"/>
            <w:tcBorders/>
            <w:vAlign w:val="bottom"/>
          </w:tcPr>
          <w:p>
            <w:pPr>
              <w:pStyle w:val="TableContents"/>
              <w:bidi w:val="0"/>
              <w:spacing w:before="0" w:after="283"/>
              <w:jc w:val="left"/>
              <w:rPr>
                <w:b/>
              </w:rPr>
            </w:pPr>
            <w:r>
              <w:rPr>
                <w:b/>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b/>
              </w:rPr>
            </w:pPr>
            <w:r>
              <w:rPr>
                <w:b/>
              </w:rPr>
              <w:t>(18,099</w:t>
            </w:r>
          </w:p>
        </w:tc>
        <w:tc>
          <w:tcPr>
            <w:tcW w:w="161" w:type="dxa"/>
            <w:tcBorders/>
            <w:vAlign w:val="bottom"/>
          </w:tcPr>
          <w:p>
            <w:pPr>
              <w:pStyle w:val="TableContents"/>
              <w:bidi w:val="0"/>
              <w:spacing w:before="0" w:after="283"/>
              <w:jc w:val="left"/>
              <w:rPr>
                <w:b/>
              </w:rPr>
            </w:pPr>
            <w:r>
              <w:rPr>
                <w:b/>
              </w:rPr>
              <w:t>) </w:t>
            </w:r>
          </w:p>
        </w:tc>
      </w:tr>
      <w:tr>
        <w:trPr/>
        <w:tc>
          <w:tcPr>
            <w:tcW w:w="3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359</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359</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b/>
              </w:rPr>
            </w:pPr>
            <w:r>
              <w:rPr>
                <w:b/>
              </w:rPr>
              <w:t>(129</w:t>
            </w:r>
          </w:p>
        </w:tc>
        <w:tc>
          <w:tcPr>
            <w:tcW w:w="155" w:type="dxa"/>
            <w:tcBorders/>
            <w:vAlign w:val="bottom"/>
          </w:tcPr>
          <w:p>
            <w:pPr>
              <w:pStyle w:val="TableContents"/>
              <w:bidi w:val="0"/>
              <w:spacing w:before="0" w:after="283"/>
              <w:jc w:val="left"/>
              <w:rPr>
                <w:b/>
              </w:rPr>
            </w:pPr>
            <w:r>
              <w:rPr>
                <w:b/>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b/>
              </w:rPr>
            </w:pPr>
            <w:r>
              <w:rPr>
                <w:b/>
              </w:rPr>
              <w:t>(22,777</w:t>
            </w:r>
          </w:p>
        </w:tc>
        <w:tc>
          <w:tcPr>
            <w:tcW w:w="155" w:type="dxa"/>
            <w:tcBorders/>
            <w:vAlign w:val="bottom"/>
          </w:tcPr>
          <w:p>
            <w:pPr>
              <w:pStyle w:val="TableContents"/>
              <w:bidi w:val="0"/>
              <w:spacing w:before="0" w:after="283"/>
              <w:jc w:val="left"/>
              <w:rPr>
                <w:b/>
              </w:rPr>
            </w:pPr>
            <w:r>
              <w:rPr>
                <w:b/>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b/>
              </w:rPr>
            </w:pPr>
            <w:r>
              <w:rPr>
                <w:b/>
              </w:rPr>
              <w:t>(18,458</w:t>
            </w:r>
          </w:p>
        </w:tc>
        <w:tc>
          <w:tcPr>
            <w:tcW w:w="161" w:type="dxa"/>
            <w:tcBorders/>
            <w:vAlign w:val="bottom"/>
          </w:tcPr>
          <w:p>
            <w:pPr>
              <w:pStyle w:val="TableContents"/>
              <w:bidi w:val="0"/>
              <w:spacing w:before="0" w:after="283"/>
              <w:jc w:val="left"/>
              <w:rPr>
                <w:b/>
              </w:rPr>
            </w:pPr>
            <w:r>
              <w:rPr>
                <w:b/>
              </w:rPr>
              <w:t>) </w:t>
            </w:r>
          </w:p>
        </w:tc>
      </w:tr>
      <w:tr>
        <w:trPr/>
        <w:tc>
          <w:tcPr>
            <w:tcW w:w="321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Interests</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pPr>
            <w:r>
              <w:rPr/>
              <w:t>100</w:t>
            </w:r>
          </w:p>
        </w:tc>
        <w:tc>
          <w:tcPr>
            <w:tcW w:w="161" w:type="dxa"/>
            <w:tcBorders/>
            <w:shd w:fill="CCEEFF" w:val="clear"/>
            <w:vAlign w:val="bottom"/>
          </w:tcPr>
          <w:p>
            <w:pPr>
              <w:pStyle w:val="TableContents"/>
              <w:bidi w:val="0"/>
              <w:spacing w:before="0" w:after="283"/>
              <w:jc w:val="left"/>
              <w:rPr/>
            </w:pPr>
            <w:r>
              <w:rPr/>
              <w:t> </w:t>
            </w:r>
          </w:p>
        </w:tc>
      </w:tr>
      <w:tr>
        <w:trPr/>
        <w:tc>
          <w:tcPr>
            <w:tcW w:w="32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Attributable to the New Teamshares</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b/>
              </w:rPr>
            </w:pPr>
            <w:r>
              <w:rPr>
                <w:b/>
              </w:rPr>
              <w:t>(22,877</w:t>
            </w:r>
          </w:p>
        </w:tc>
        <w:tc>
          <w:tcPr>
            <w:tcW w:w="155" w:type="dxa"/>
            <w:tcBorders/>
            <w:vAlign w:val="bottom"/>
          </w:tcPr>
          <w:p>
            <w:pPr>
              <w:pStyle w:val="TableContents"/>
              <w:bidi w:val="0"/>
              <w:spacing w:before="0" w:after="283"/>
              <w:jc w:val="left"/>
              <w:rPr>
                <w:b/>
              </w:rPr>
            </w:pPr>
            <w:r>
              <w:rPr>
                <w:b/>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b/>
              </w:rPr>
            </w:pPr>
            <w:r>
              <w:rPr>
                <w:b/>
              </w:rPr>
              <w:t>(18,558</w:t>
            </w:r>
          </w:p>
        </w:tc>
        <w:tc>
          <w:tcPr>
            <w:tcW w:w="161" w:type="dxa"/>
            <w:tcBorders/>
            <w:vAlign w:val="bottom"/>
          </w:tcPr>
          <w:p>
            <w:pPr>
              <w:pStyle w:val="TableContents"/>
              <w:bidi w:val="0"/>
              <w:spacing w:before="0" w:after="283"/>
              <w:jc w:val="left"/>
              <w:rPr>
                <w:b/>
              </w:rPr>
            </w:pPr>
            <w:r>
              <w:rPr>
                <w:b/>
              </w:rPr>
              <w:t>) </w:t>
            </w:r>
          </w:p>
        </w:tc>
      </w:tr>
      <w:tr>
        <w:trPr/>
        <w:tc>
          <w:tcPr>
            <w:tcW w:w="32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Attributable to the Common Stockholders</w:t>
            </w:r>
          </w:p>
        </w:tc>
        <w:tc>
          <w:tcPr>
            <w:tcW w:w="21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b/>
              </w:rPr>
            </w:pPr>
            <w:r>
              <w:rPr>
                <w:b/>
              </w:rPr>
              <w:t>(129</w:t>
            </w:r>
          </w:p>
        </w:tc>
        <w:tc>
          <w:tcPr>
            <w:tcW w:w="155" w:type="dxa"/>
            <w:tcBorders/>
            <w:shd w:fill="CCEEFF" w:val="clear"/>
            <w:vAlign w:val="bottom"/>
          </w:tcPr>
          <w:p>
            <w:pPr>
              <w:pStyle w:val="TableContents"/>
              <w:bidi w:val="0"/>
              <w:spacing w:before="0" w:after="283"/>
              <w:jc w:val="left"/>
              <w:rPr>
                <w:b/>
              </w:rPr>
            </w:pPr>
            <w:r>
              <w:rPr>
                <w:b/>
              </w:rPr>
              <w:t>) </w:t>
            </w:r>
          </w:p>
        </w:tc>
        <w:tc>
          <w:tcPr>
            <w:tcW w:w="16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b/>
              </w:rPr>
            </w:pPr>
            <w:r>
              <w:rPr>
                <w:b/>
              </w:rPr>
              <w:t>(22,813</w:t>
            </w:r>
          </w:p>
        </w:tc>
        <w:tc>
          <w:tcPr>
            <w:tcW w:w="155" w:type="dxa"/>
            <w:tcBorders/>
            <w:shd w:fill="CCEEFF" w:val="clear"/>
            <w:vAlign w:val="bottom"/>
          </w:tcPr>
          <w:p>
            <w:pPr>
              <w:pStyle w:val="TableContents"/>
              <w:bidi w:val="0"/>
              <w:spacing w:before="0" w:after="283"/>
              <w:jc w:val="left"/>
              <w:rPr>
                <w:b/>
              </w:rPr>
            </w:pPr>
            <w:r>
              <w:rPr>
                <w:b/>
              </w:rPr>
              <w:t>) </w:t>
            </w:r>
          </w:p>
        </w:tc>
        <w:tc>
          <w:tcPr>
            <w:tcW w:w="166"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right"/>
              <w:rPr>
                <w:b/>
              </w:rPr>
            </w:pPr>
            <w:r>
              <w:rPr>
                <w:b/>
              </w:rPr>
              <w:t>(18,494</w:t>
            </w:r>
          </w:p>
        </w:tc>
        <w:tc>
          <w:tcPr>
            <w:tcW w:w="161" w:type="dxa"/>
            <w:tcBorders/>
            <w:shd w:fill="CCEEFF" w:val="clear"/>
            <w:vAlign w:val="bottom"/>
          </w:tcPr>
          <w:p>
            <w:pPr>
              <w:pStyle w:val="TableContents"/>
              <w:bidi w:val="0"/>
              <w:spacing w:before="0" w:after="283"/>
              <w:jc w:val="left"/>
              <w:rPr>
                <w:b/>
              </w:rPr>
            </w:pPr>
            <w:r>
              <w:rPr>
                <w:b/>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21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(19.42</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right"/>
              <w:rPr/>
            </w:pPr>
            <w:r>
              <w:rPr/>
              <w:t>(0.26</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UNAUDITED PRO FORMA CONDENSED COMBINED INCOME STATEMENT </w:t>
      </w:r>
    </w:p>
    <w:p>
      <w:pPr>
        <w:pStyle w:val="TextBody"/>
        <w:bidi w:val="0"/>
        <w:spacing w:before="120" w:after="0"/>
        <w:jc w:val="left"/>
        <w:rPr>
          <w:rFonts w:ascii="Times New Roman" w:hAnsi="Times New Roman"/>
          <w:b/>
          <w:sz w:val="20"/>
        </w:rPr>
      </w:pPr>
      <w:r>
        <w:rPr>
          <w:rFonts w:ascii="Times New Roman" w:hAnsi="Times New Roman"/>
          <w:b/>
          <w:sz w:val="20"/>
        </w:rPr>
        <w:t xml:space="preserve">For the Year Ended December 31, 2025 ($ in thousands except per share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47"/>
        <w:gridCol w:w="178"/>
        <w:gridCol w:w="78"/>
        <w:gridCol w:w="1017"/>
        <w:gridCol w:w="155"/>
        <w:gridCol w:w="128"/>
        <w:gridCol w:w="87"/>
        <w:gridCol w:w="1198"/>
        <w:gridCol w:w="155"/>
        <w:gridCol w:w="128"/>
        <w:gridCol w:w="96"/>
        <w:gridCol w:w="1240"/>
        <w:gridCol w:w="155"/>
        <w:gridCol w:w="127"/>
        <w:gridCol w:w="60"/>
        <w:gridCol w:w="455"/>
        <w:gridCol w:w="155"/>
        <w:gridCol w:w="128"/>
        <w:gridCol w:w="73"/>
        <w:gridCol w:w="1083"/>
        <w:gridCol w:w="162"/>
      </w:tblGrid>
      <w:tr>
        <w:trPr/>
        <w:tc>
          <w:tcPr>
            <w:tcW w:w="3347"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Live Oak</w:t>
              <w:br/>
              <w:t>(Historical)</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2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Teamshares</w:t>
              <w:br/>
              <w:t>(Historical)</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Adjustments</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2" w:type="dxa"/>
            <w:tcBorders/>
            <w:vAlign w:val="bottom"/>
          </w:tcPr>
          <w:p>
            <w:pPr>
              <w:pStyle w:val="TableContents"/>
              <w:bidi w:val="0"/>
              <w:spacing w:before="0" w:after="283"/>
              <w:jc w:val="left"/>
              <w:rPr/>
            </w:pPr>
            <w:r>
              <w:rPr/>
              <w:t> </w:t>
            </w:r>
          </w:p>
        </w:tc>
      </w:tr>
      <w:tr>
        <w:trPr/>
        <w:tc>
          <w:tcPr>
            <w:tcW w:w="3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471,567</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471,567</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288,467</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288,467</w:t>
            </w:r>
          </w:p>
        </w:tc>
        <w:tc>
          <w:tcPr>
            <w:tcW w:w="162" w:type="dxa"/>
            <w:tcBorders/>
            <w:vAlign w:val="bottom"/>
          </w:tcPr>
          <w:p>
            <w:pPr>
              <w:pStyle w:val="TableContents"/>
              <w:bidi w:val="0"/>
              <w:spacing w:before="0" w:after="283"/>
              <w:jc w:val="left"/>
              <w:rPr/>
            </w:pPr>
            <w:r>
              <w:rPr/>
              <w:t> </w:t>
            </w:r>
          </w:p>
        </w:tc>
      </w:tr>
      <w:tr>
        <w:trPr/>
        <w:tc>
          <w:tcPr>
            <w:tcW w:w="334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b/>
              </w:rPr>
            </w:pPr>
            <w:r>
              <w:rPr>
                <w:b/>
              </w:rPr>
              <w:t>183,100</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b/>
              </w:rPr>
            </w:pPr>
            <w:r>
              <w:rPr>
                <w:b/>
              </w:rPr>
              <w:t>183,100</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 (Income)</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1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3,086</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3,086</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5,907</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5,907</w:t>
            </w:r>
          </w:p>
        </w:tc>
        <w:tc>
          <w:tcPr>
            <w:tcW w:w="162" w:type="dxa"/>
            <w:tcBorders/>
            <w:vAlign w:val="bottom"/>
          </w:tcPr>
          <w:p>
            <w:pPr>
              <w:pStyle w:val="TableContents"/>
              <w:bidi w:val="0"/>
              <w:spacing w:before="0" w:after="283"/>
              <w:jc w:val="left"/>
              <w:rPr/>
            </w:pPr>
            <w:r>
              <w:rPr/>
              <w:t> </w:t>
            </w:r>
          </w:p>
        </w:tc>
      </w:tr>
      <w:tr>
        <w:trPr/>
        <w:tc>
          <w:tcPr>
            <w:tcW w:w="3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2,214</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191,421</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12,592</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206,227</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19,412</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19,412</w:t>
            </w:r>
          </w:p>
        </w:tc>
        <w:tc>
          <w:tcPr>
            <w:tcW w:w="162" w:type="dxa"/>
            <w:tcBorders/>
            <w:vAlign w:val="bottom"/>
          </w:tcPr>
          <w:p>
            <w:pPr>
              <w:pStyle w:val="TableContents"/>
              <w:bidi w:val="0"/>
              <w:spacing w:before="0" w:after="283"/>
              <w:jc w:val="left"/>
              <w:rPr/>
            </w:pPr>
            <w:r>
              <w:rPr/>
              <w:t> </w:t>
            </w:r>
          </w:p>
        </w:tc>
      </w:tr>
      <w:tr>
        <w:trPr/>
        <w:tc>
          <w:tcPr>
            <w:tcW w:w="3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Disposition of Assets</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(5,418</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(5,418</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Advisory Fee</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6,900</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6,900</w:t>
            </w:r>
          </w:p>
        </w:tc>
        <w:tc>
          <w:tcPr>
            <w:tcW w:w="162" w:type="dxa"/>
            <w:tcBorders/>
            <w:vAlign w:val="bottom"/>
          </w:tcPr>
          <w:p>
            <w:pPr>
              <w:pStyle w:val="TableContents"/>
              <w:bidi w:val="0"/>
              <w:spacing w:before="0" w:after="283"/>
              <w:jc w:val="left"/>
              <w:rPr/>
            </w:pPr>
            <w:r>
              <w:rPr/>
              <w:t> </w:t>
            </w:r>
          </w:p>
        </w:tc>
      </w:tr>
      <w:tr>
        <w:trPr/>
        <w:tc>
          <w:tcPr>
            <w:tcW w:w="33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b/>
              </w:rPr>
            </w:pPr>
            <w:r>
              <w:rPr>
                <w:b/>
              </w:rPr>
              <w:t>9,114</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b/>
              </w:rPr>
            </w:pPr>
            <w:r>
              <w:rPr>
                <w:b/>
              </w:rPr>
              <w:t>214,408</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b/>
              </w:rPr>
            </w:pPr>
            <w:r>
              <w:rPr>
                <w:b/>
              </w:rPr>
              <w:t>236,114</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b/>
              </w:rPr>
            </w:pPr>
            <w:r>
              <w:rPr>
                <w:b/>
              </w:rPr>
              <w:t>(9,114</w:t>
            </w:r>
          </w:p>
        </w:tc>
        <w:tc>
          <w:tcPr>
            <w:tcW w:w="155" w:type="dxa"/>
            <w:tcBorders/>
            <w:vAlign w:val="bottom"/>
          </w:tcPr>
          <w:p>
            <w:pPr>
              <w:pStyle w:val="TableContents"/>
              <w:bidi w:val="0"/>
              <w:spacing w:before="0" w:after="283"/>
              <w:jc w:val="left"/>
              <w:rPr>
                <w:b/>
              </w:rPr>
            </w:pPr>
            <w:r>
              <w:rPr>
                <w:b/>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b/>
              </w:rPr>
            </w:pPr>
            <w:r>
              <w:rPr>
                <w:b/>
              </w:rPr>
              <w:t>(31,308</w:t>
            </w:r>
          </w:p>
        </w:tc>
        <w:tc>
          <w:tcPr>
            <w:tcW w:w="155" w:type="dxa"/>
            <w:tcBorders/>
            <w:vAlign w:val="bottom"/>
          </w:tcPr>
          <w:p>
            <w:pPr>
              <w:pStyle w:val="TableContents"/>
              <w:bidi w:val="0"/>
              <w:spacing w:before="0" w:after="283"/>
              <w:jc w:val="left"/>
              <w:rPr>
                <w:b/>
              </w:rPr>
            </w:pPr>
            <w:r>
              <w:rPr>
                <w:b/>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b/>
              </w:rPr>
            </w:pPr>
            <w:r>
              <w:rPr>
                <w:b/>
              </w:rPr>
              <w:t>(53,014</w:t>
            </w:r>
          </w:p>
        </w:tc>
        <w:tc>
          <w:tcPr>
            <w:tcW w:w="162" w:type="dxa"/>
            <w:tcBorders/>
            <w:vAlign w:val="bottom"/>
          </w:tcPr>
          <w:p>
            <w:pPr>
              <w:pStyle w:val="TableContents"/>
              <w:bidi w:val="0"/>
              <w:spacing w:before="0" w:after="283"/>
              <w:jc w:val="left"/>
              <w:rPr>
                <w:b/>
              </w:rPr>
            </w:pPr>
            <w:r>
              <w:rPr>
                <w:b/>
              </w:rPr>
              <w:t>) </w:t>
            </w:r>
          </w:p>
        </w:tc>
      </w:tr>
      <w:tr>
        <w:trPr/>
        <w:tc>
          <w:tcPr>
            <w:tcW w:w="33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Non-Operating Expenses (Income)</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1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31,191</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31,191</w:t>
            </w:r>
          </w:p>
        </w:tc>
        <w:tc>
          <w:tcPr>
            <w:tcW w:w="162" w:type="dxa"/>
            <w:tcBorders/>
            <w:vAlign w:val="bottom"/>
          </w:tcPr>
          <w:p>
            <w:pPr>
              <w:pStyle w:val="TableContents"/>
              <w:bidi w:val="0"/>
              <w:spacing w:before="0" w:after="283"/>
              <w:jc w:val="left"/>
              <w:rPr/>
            </w:pPr>
            <w:r>
              <w:rPr/>
              <w:t> </w:t>
            </w:r>
          </w:p>
        </w:tc>
      </w:tr>
      <w:tr>
        <w:trPr/>
        <w:tc>
          <w:tcPr>
            <w:tcW w:w="3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Earned on Marketable Securities Held in Trust Account</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(7,892</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7,892</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(BB</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4,642</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4,642</w:t>
            </w:r>
          </w:p>
        </w:tc>
        <w:tc>
          <w:tcPr>
            <w:tcW w:w="162" w:type="dxa"/>
            <w:tcBorders/>
            <w:vAlign w:val="bottom"/>
          </w:tcPr>
          <w:p>
            <w:pPr>
              <w:pStyle w:val="TableContents"/>
              <w:bidi w:val="0"/>
              <w:spacing w:before="0" w:after="283"/>
              <w:jc w:val="left"/>
              <w:rPr/>
            </w:pPr>
            <w:r>
              <w:rPr/>
              <w:t> </w:t>
            </w:r>
          </w:p>
        </w:tc>
      </w:tr>
      <w:tr>
        <w:trPr/>
        <w:tc>
          <w:tcPr>
            <w:tcW w:w="3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(3,956</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3,956</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(CC</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1,326</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1,326</w:t>
            </w:r>
          </w:p>
        </w:tc>
        <w:tc>
          <w:tcPr>
            <w:tcW w:w="162" w:type="dxa"/>
            <w:tcBorders/>
            <w:vAlign w:val="bottom"/>
          </w:tcPr>
          <w:p>
            <w:pPr>
              <w:pStyle w:val="TableContents"/>
              <w:bidi w:val="0"/>
              <w:spacing w:before="0" w:after="283"/>
              <w:jc w:val="left"/>
              <w:rPr/>
            </w:pPr>
            <w:r>
              <w:rPr/>
              <w:t> </w:t>
            </w:r>
          </w:p>
        </w:tc>
      </w:tr>
      <w:tr>
        <w:trPr/>
        <w:tc>
          <w:tcPr>
            <w:tcW w:w="3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(Income) Expenses</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1,284</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1,284</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Initial Loss on PIPE Subscription Agreements Liability</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15,582</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(15,582</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(DD</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3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PIPE Subscription Agreements Liability</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(308</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308</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(DD</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Initial Loss on Forward Purchase Agreement Liability</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8,083</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(EE</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8,083</w:t>
            </w:r>
          </w:p>
        </w:tc>
        <w:tc>
          <w:tcPr>
            <w:tcW w:w="162" w:type="dxa"/>
            <w:tcBorders/>
            <w:vAlign w:val="bottom"/>
          </w:tcPr>
          <w:p>
            <w:pPr>
              <w:pStyle w:val="TableContents"/>
              <w:bidi w:val="0"/>
              <w:spacing w:before="0" w:after="283"/>
              <w:jc w:val="left"/>
              <w:rPr/>
            </w:pPr>
            <w:r>
              <w:rPr/>
              <w:t> </w:t>
            </w:r>
          </w:p>
        </w:tc>
      </w:tr>
      <w:tr>
        <w:trPr/>
        <w:tc>
          <w:tcPr>
            <w:tcW w:w="334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Non-Operating Expenses</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b/>
              </w:rPr>
            </w:pPr>
            <w:r>
              <w:rPr>
                <w:b/>
              </w:rPr>
              <w:t>7,382</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b/>
              </w:rPr>
            </w:pPr>
            <w:r>
              <w:rPr>
                <w:b/>
              </w:rPr>
              <w:t>34,487</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b/>
              </w:rPr>
            </w:pPr>
            <w:r>
              <w:rPr>
                <w:b/>
              </w:rPr>
              <w:t>46,526</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b/>
              </w:rPr>
            </w:pPr>
            <w:r>
              <w:rPr>
                <w:b/>
              </w:rPr>
              <w:t>(16,495</w:t>
            </w:r>
          </w:p>
        </w:tc>
        <w:tc>
          <w:tcPr>
            <w:tcW w:w="155" w:type="dxa"/>
            <w:tcBorders/>
            <w:vAlign w:val="bottom"/>
          </w:tcPr>
          <w:p>
            <w:pPr>
              <w:pStyle w:val="TableContents"/>
              <w:bidi w:val="0"/>
              <w:spacing w:before="0" w:after="283"/>
              <w:jc w:val="left"/>
              <w:rPr>
                <w:b/>
              </w:rPr>
            </w:pPr>
            <w:r>
              <w:rPr>
                <w:b/>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b/>
              </w:rPr>
            </w:pPr>
            <w:r>
              <w:rPr>
                <w:b/>
              </w:rPr>
              <w:t>(65,795</w:t>
            </w:r>
          </w:p>
        </w:tc>
        <w:tc>
          <w:tcPr>
            <w:tcW w:w="155" w:type="dxa"/>
            <w:tcBorders/>
            <w:vAlign w:val="bottom"/>
          </w:tcPr>
          <w:p>
            <w:pPr>
              <w:pStyle w:val="TableContents"/>
              <w:bidi w:val="0"/>
              <w:spacing w:before="0" w:after="283"/>
              <w:jc w:val="left"/>
              <w:rPr>
                <w:b/>
              </w:rPr>
            </w:pPr>
            <w:r>
              <w:rPr>
                <w:b/>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b/>
              </w:rPr>
            </w:pPr>
            <w:r>
              <w:rPr>
                <w:b/>
              </w:rPr>
              <w:t>(99,540</w:t>
            </w:r>
          </w:p>
        </w:tc>
        <w:tc>
          <w:tcPr>
            <w:tcW w:w="162" w:type="dxa"/>
            <w:tcBorders/>
            <w:vAlign w:val="bottom"/>
          </w:tcPr>
          <w:p>
            <w:pPr>
              <w:pStyle w:val="TableContents"/>
              <w:bidi w:val="0"/>
              <w:spacing w:before="0" w:after="283"/>
              <w:jc w:val="left"/>
              <w:rPr>
                <w:b/>
              </w:rPr>
            </w:pPr>
            <w:r>
              <w:rPr>
                <w:b/>
              </w:rPr>
              <w:t>) </w:t>
            </w:r>
          </w:p>
        </w:tc>
      </w:tr>
      <w:tr>
        <w:trPr/>
        <w:tc>
          <w:tcPr>
            <w:tcW w:w="3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562</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562</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b/>
              </w:rPr>
            </w:pPr>
            <w:r>
              <w:rPr>
                <w:b/>
              </w:rPr>
              <w:t>(16,495</w:t>
            </w:r>
          </w:p>
        </w:tc>
        <w:tc>
          <w:tcPr>
            <w:tcW w:w="155" w:type="dxa"/>
            <w:tcBorders/>
            <w:vAlign w:val="bottom"/>
          </w:tcPr>
          <w:p>
            <w:pPr>
              <w:pStyle w:val="TableContents"/>
              <w:bidi w:val="0"/>
              <w:spacing w:before="0" w:after="283"/>
              <w:jc w:val="left"/>
              <w:rPr>
                <w:b/>
              </w:rPr>
            </w:pPr>
            <w:r>
              <w:rPr>
                <w:b/>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b/>
              </w:rPr>
            </w:pPr>
            <w:r>
              <w:rPr>
                <w:b/>
              </w:rPr>
              <w:t>(66,357</w:t>
            </w:r>
          </w:p>
        </w:tc>
        <w:tc>
          <w:tcPr>
            <w:tcW w:w="155" w:type="dxa"/>
            <w:tcBorders/>
            <w:vAlign w:val="bottom"/>
          </w:tcPr>
          <w:p>
            <w:pPr>
              <w:pStyle w:val="TableContents"/>
              <w:bidi w:val="0"/>
              <w:spacing w:before="0" w:after="283"/>
              <w:jc w:val="left"/>
              <w:rPr>
                <w:b/>
              </w:rPr>
            </w:pPr>
            <w:r>
              <w:rPr>
                <w:b/>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b/>
              </w:rPr>
            </w:pPr>
            <w:r>
              <w:rPr>
                <w:b/>
              </w:rPr>
              <w:t>(100,102</w:t>
            </w:r>
          </w:p>
        </w:tc>
        <w:tc>
          <w:tcPr>
            <w:tcW w:w="162" w:type="dxa"/>
            <w:tcBorders/>
            <w:vAlign w:val="bottom"/>
          </w:tcPr>
          <w:p>
            <w:pPr>
              <w:pStyle w:val="TableContents"/>
              <w:bidi w:val="0"/>
              <w:spacing w:before="0" w:after="283"/>
              <w:jc w:val="left"/>
              <w:rPr>
                <w:b/>
              </w:rPr>
            </w:pPr>
            <w:r>
              <w:rPr>
                <w:b/>
              </w:rPr>
              <w:t>) </w:t>
            </w:r>
          </w:p>
        </w:tc>
      </w:tr>
      <w:tr>
        <w:trPr/>
        <w:tc>
          <w:tcPr>
            <w:tcW w:w="3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Interests</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(439</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(439</w:t>
            </w:r>
          </w:p>
        </w:tc>
        <w:tc>
          <w:tcPr>
            <w:tcW w:w="162" w:type="dxa"/>
            <w:tcBorders/>
            <w:shd w:fill="CCEEFF" w:val="clear"/>
            <w:vAlign w:val="bottom"/>
          </w:tcPr>
          <w:p>
            <w:pPr>
              <w:pStyle w:val="TableContents"/>
              <w:bidi w:val="0"/>
              <w:spacing w:before="0" w:after="283"/>
              <w:jc w:val="left"/>
              <w:rPr/>
            </w:pPr>
            <w:r>
              <w:rPr/>
              <w:t>) </w:t>
            </w:r>
          </w:p>
        </w:tc>
      </w:tr>
      <w:tr>
        <w:trPr/>
        <w:tc>
          <w:tcPr>
            <w:tcW w:w="334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Attributable to the New Teamshares</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b/>
              </w:rPr>
            </w:pPr>
            <w:r>
              <w:rPr>
                <w:b/>
              </w:rPr>
              <w:t>(65,918</w:t>
            </w:r>
          </w:p>
        </w:tc>
        <w:tc>
          <w:tcPr>
            <w:tcW w:w="155" w:type="dxa"/>
            <w:tcBorders/>
            <w:vAlign w:val="bottom"/>
          </w:tcPr>
          <w:p>
            <w:pPr>
              <w:pStyle w:val="TableContents"/>
              <w:bidi w:val="0"/>
              <w:spacing w:before="0" w:after="283"/>
              <w:jc w:val="left"/>
              <w:rPr>
                <w:b/>
              </w:rPr>
            </w:pPr>
            <w:r>
              <w:rPr>
                <w:b/>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b/>
              </w:rPr>
            </w:pPr>
            <w:r>
              <w:rPr>
                <w:b/>
              </w:rPr>
              <w:t>(99,663</w:t>
            </w:r>
          </w:p>
        </w:tc>
        <w:tc>
          <w:tcPr>
            <w:tcW w:w="162" w:type="dxa"/>
            <w:tcBorders/>
            <w:vAlign w:val="bottom"/>
          </w:tcPr>
          <w:p>
            <w:pPr>
              <w:pStyle w:val="TableContents"/>
              <w:bidi w:val="0"/>
              <w:spacing w:before="0" w:after="283"/>
              <w:jc w:val="left"/>
              <w:rPr>
                <w:b/>
              </w:rPr>
            </w:pPr>
            <w:r>
              <w:rPr>
                <w:b/>
              </w:rPr>
              <w:t>) </w:t>
            </w:r>
          </w:p>
        </w:tc>
      </w:tr>
      <w:tr>
        <w:trPr/>
        <w:tc>
          <w:tcPr>
            <w:tcW w:w="334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Attributable to Common Stockholders</w:t>
            </w:r>
          </w:p>
        </w:tc>
        <w:tc>
          <w:tcPr>
            <w:tcW w:w="1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b/>
              </w:rPr>
            </w:pPr>
            <w:r>
              <w:rPr>
                <w:b/>
              </w:rPr>
              <w:t>(16,495</w:t>
            </w:r>
          </w:p>
        </w:tc>
        <w:tc>
          <w:tcPr>
            <w:tcW w:w="155" w:type="dxa"/>
            <w:tcBorders/>
            <w:shd w:fill="CCEEFF" w:val="clear"/>
            <w:vAlign w:val="bottom"/>
          </w:tcPr>
          <w:p>
            <w:pPr>
              <w:pStyle w:val="TableContents"/>
              <w:bidi w:val="0"/>
              <w:spacing w:before="0" w:after="283"/>
              <w:jc w:val="left"/>
              <w:rPr>
                <w:b/>
              </w:rPr>
            </w:pPr>
            <w:r>
              <w:rPr>
                <w:b/>
              </w:rPr>
              <w:t>) </w:t>
            </w:r>
          </w:p>
        </w:tc>
        <w:tc>
          <w:tcPr>
            <w:tcW w:w="12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b/>
              </w:rPr>
            </w:pPr>
            <w:r>
              <w:rPr>
                <w:b/>
              </w:rPr>
              <w:t>(65,670</w:t>
            </w:r>
          </w:p>
        </w:tc>
        <w:tc>
          <w:tcPr>
            <w:tcW w:w="155" w:type="dxa"/>
            <w:tcBorders/>
            <w:shd w:fill="CCEEFF" w:val="clear"/>
            <w:vAlign w:val="bottom"/>
          </w:tcPr>
          <w:p>
            <w:pPr>
              <w:pStyle w:val="TableContents"/>
              <w:bidi w:val="0"/>
              <w:spacing w:before="0" w:after="283"/>
              <w:jc w:val="left"/>
              <w:rPr>
                <w:b/>
              </w:rPr>
            </w:pPr>
            <w:r>
              <w:rPr>
                <w:b/>
              </w:rPr>
              <w:t>) </w:t>
            </w:r>
          </w:p>
        </w:tc>
        <w:tc>
          <w:tcPr>
            <w:tcW w:w="12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b/>
              </w:rPr>
            </w:pPr>
            <w:r>
              <w:rPr>
                <w:b/>
              </w:rPr>
              <w:t>(99,415</w:t>
            </w:r>
          </w:p>
        </w:tc>
        <w:tc>
          <w:tcPr>
            <w:tcW w:w="162" w:type="dxa"/>
            <w:tcBorders/>
            <w:shd w:fill="CCEEFF" w:val="clear"/>
            <w:vAlign w:val="bottom"/>
          </w:tcPr>
          <w:p>
            <w:pPr>
              <w:pStyle w:val="TableContents"/>
              <w:bidi w:val="0"/>
              <w:spacing w:before="0" w:after="283"/>
              <w:jc w:val="left"/>
              <w:rPr>
                <w:b/>
              </w:rPr>
            </w:pPr>
            <w:r>
              <w:rPr>
                <w:b/>
              </w:rPr>
              <w:t>) </w:t>
            </w:r>
          </w:p>
        </w:tc>
      </w:tr>
      <w:tr>
        <w:trPr/>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(0.66</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(56.46</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(1.38</w:t>
            </w:r>
          </w:p>
        </w:tc>
        <w:tc>
          <w:tcPr>
            <w:tcW w:w="1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PRO FORMA CONDENSED COMBINED FINANCIAL STATEMENTS FOR THE THREE MONTHS ENDED MARCH 31, 2026 AND YEAR ENDED DECEMBER 31, 2025 </w:t>
      </w:r>
    </w:p>
    <w:p>
      <w:pPr>
        <w:pStyle w:val="TextBody"/>
        <w:bidi w:val="0"/>
        <w:spacing w:before="240" w:after="0"/>
        <w:jc w:val="left"/>
        <w:rPr>
          <w:rFonts w:ascii="Times New Roman" w:hAnsi="Times New Roman"/>
          <w:b/>
          <w:sz w:val="20"/>
        </w:rPr>
      </w:pPr>
      <w:r>
        <w:rPr>
          <w:rFonts w:ascii="Times New Roman" w:hAnsi="Times New Roman"/>
          <w:b/>
          <w:sz w:val="20"/>
        </w:rPr>
        <w:t xml:space="preserve">1.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in accordance with Article 11 of Regulation S-X and presents the pro forma effects of the Business Combination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gives effect to the Business Combination as if it had occurred on March 31, 2026, and the unaudited pro forma condensed combined statements of operations give effect to the Business Combination as if it had occurred on January 1, 2025, as this is the beginning of the earliest period presented in the unaudited pro forma condensed combined statements of operations. The pro forma adjustments are based upon currently available information and certain assumptions that management believes are reasonable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legal form of the transactions, the Business Combination was accounted for as a reverse recapitalization in accordance with GAAP. Under this method of accounting: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Teamshares was treated as the accounting acquirer;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Live Oak was treated as the acquired company for financial reporting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Accordingly, the pro forma financial statements represent a continuation of the financial statements of Teamshares, with the Business Combination treated as issuance of equity by Teamshares for the net assets of Live Oak accompanied by a recapitalization. Live Oak’s assets and liabilities will be recorded at historical cost, and no goodwill or intangible assets will be recognized.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Teamshares stockholders as of the First Effective Time (after taking into account the effects of any Liquidation Preference Elections and, thereafter, after giving effect to the Company Preferred Stock Exchange required by the terms of the Merger Agreement) received 49,435,918 shares of Common Stock with an aggregate value equal to the Stockholder Merger Consideration, based on a value of $10.00 per share. Other than Teamshares options which are in-the-money as of the First Effective Time, all Teamshares options, warrants and any other securities convertible or exchangeable for Teamshares shares were terminated as of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qualifying Earnout Participants received a right to certain Earnout Shares, if any such shares are issued to Earnout Participants upon the achievement, if any, of specified share price targets or other events or conditions which may occur during the post-Closing Earnout Period. The Deferred Founder Shares are subject to forfeiture and shall vest if certain Founder Share Triggering Events are achieved during the Founder Share Measurement Period. If none of the Founder Share Triggering Events occur during the Founder Share Measurement Period the Deferred Founder Shares will be forfeited. </w:t>
      </w:r>
    </w:p>
    <w:p>
      <w:pPr>
        <w:pStyle w:val="TextBody"/>
        <w:bidi w:val="0"/>
        <w:spacing w:before="240" w:after="0"/>
        <w:jc w:val="left"/>
        <w:rPr>
          <w:rFonts w:ascii="Times New Roman" w:hAnsi="Times New Roman"/>
          <w:sz w:val="20"/>
        </w:rPr>
      </w:pPr>
      <w:r>
        <w:rPr>
          <w:rFonts w:ascii="Times New Roman" w:hAnsi="Times New Roman"/>
          <w:sz w:val="20"/>
        </w:rPr>
        <w:t xml:space="preserve">Contemporaneously with execution of the Original Merger Agreement, Live Oak entered into Initial PIPE Subscription Agreements for the Initial PIPE Investment. The Initial PIPE Investment is reflected in the pro forma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Direct and incremental transaction costs incurred prior to or concurrent with the Closing are reflected as a reduction to accumulated deficit in the unaudited pro forma condensed combined balance sheet, to the extent such costs are factually supportable. Any amounts that remain contingent or uncertain have not been included. </w:t>
      </w:r>
    </w:p>
    <w:p>
      <w:pPr>
        <w:pStyle w:val="TextBody"/>
        <w:bidi w:val="0"/>
        <w:spacing w:before="240" w:after="0"/>
        <w:jc w:val="left"/>
        <w:rPr>
          <w:rFonts w:ascii="Times New Roman" w:hAnsi="Times New Roman"/>
          <w:sz w:val="20"/>
        </w:rPr>
      </w:pPr>
      <w:r>
        <w:rPr>
          <w:rFonts w:ascii="Times New Roman" w:hAnsi="Times New Roman"/>
          <w:sz w:val="20"/>
        </w:rPr>
        <w:t xml:space="preserve">The pro forma financial information includes only Transaction Accounting Adjustments required by Article 11 of Regulation S-X. The Company is subject to U.S. federal and state income taxes and files 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consolidated basis, aggregating relevant tax attributes in determining consolidated taxable income. In light of the Company’s significant NOL carryforwards, which are reflected in deferred tax assets, any incremental pro forma tax effects are not expected to be material, provided, however, that the extent to which Teamshares NOLs may be carried forward and relevant, in relation to the Company’s tax liabilities after the Closing, if at all, is not yet certain and Teamshares management continues to analyze the tax implications of the transaction, including relative to NOLs, as of the date of this Prospectus; accordingly, no pro forma income tax adjustments are presented. The Company’s primary current tax exposure is state income taxes, recorded as a component of current income tax expense. Management will reassess tax impacts, including the utilization and valuation of NOLs, upon Closing. </w:t>
      </w:r>
    </w:p>
    <w:p>
      <w:pPr>
        <w:pStyle w:val="TextBody"/>
        <w:bidi w:val="0"/>
        <w:spacing w:before="240" w:after="0"/>
        <w:jc w:val="left"/>
        <w:rPr>
          <w:rFonts w:ascii="Times New Roman" w:hAnsi="Times New Roman"/>
          <w:sz w:val="20"/>
        </w:rPr>
      </w:pPr>
      <w:r>
        <w:rPr>
          <w:rFonts w:ascii="Times New Roman" w:hAnsi="Times New Roman"/>
          <w:sz w:val="20"/>
        </w:rPr>
        <w:t xml:space="preserve">Management believes that its assumptions and methodologies provide a reasonable basis for presenting all of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 The unaudited pro forma condensed combined statements of operations are not necessarily indicative of what the actual results of operations would have been had the Business Combination taken place on the date indicated, nor are they indicative of the future consolidated results of operations of New Teamshares. They should be read in conjunction with the historical consolidated financial statements and notes thereto of Teamshares and Live Oak. </w:t>
      </w:r>
    </w:p>
    <w:p>
      <w:pPr>
        <w:pStyle w:val="TextBody"/>
        <w:bidi w:val="0"/>
        <w:spacing w:before="240" w:after="0"/>
        <w:jc w:val="left"/>
        <w:rPr>
          <w:rFonts w:ascii="Times New Roman" w:hAnsi="Times New Roman"/>
          <w:sz w:val="20"/>
        </w:rPr>
      </w:pPr>
      <w:r>
        <w:rPr>
          <w:rFonts w:ascii="Times New Roman" w:hAnsi="Times New Roman"/>
          <w:sz w:val="20"/>
        </w:rPr>
        <w:t xml:space="preserve">Based on its initial analysis, management did not identify any differences in accounting policies that would have a material impact on the unaudited pro forma condensed combined financial information. As a result, the unaudited pro forma condensed combined financial information does not assume any differences in accounting policies. Upon consummation of the Business Combination, management will perform a comprehensive review of the two entities’ accounting policies. As a result of the review, management may identify differences between the accounting policies of the two entities which, when conformed, could have a material impact on the financial statements of New Teamshares. </w:t>
      </w:r>
    </w:p>
    <w:p>
      <w:pPr>
        <w:pStyle w:val="TextBody"/>
        <w:bidi w:val="0"/>
        <w:spacing w:before="360" w:after="0"/>
        <w:jc w:val="left"/>
        <w:rPr>
          <w:rFonts w:ascii="Times New Roman" w:hAnsi="Times New Roman"/>
          <w:b/>
          <w:sz w:val="20"/>
        </w:rPr>
      </w:pPr>
      <w:r>
        <w:rPr>
          <w:rFonts w:ascii="Times New Roman" w:hAnsi="Times New Roman"/>
          <w:b/>
          <w:sz w:val="20"/>
        </w:rPr>
        <w:t xml:space="preserve">2. Adjustments to Unaudited Pro Forma Condensed Combined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to illustrate the effect of the Business Combination and the other transactions contemplated by the Merger Agreement and has been prepared for informational purposes only. </w:t>
      </w:r>
    </w:p>
    <w:p>
      <w:pPr>
        <w:pStyle w:val="TextBody"/>
        <w:bidi w:val="0"/>
        <w:spacing w:before="240" w:after="0"/>
        <w:jc w:val="left"/>
        <w:rPr>
          <w:rFonts w:ascii="Times New Roman" w:hAnsi="Times New Roman"/>
          <w:sz w:val="20"/>
        </w:rPr>
      </w:pPr>
      <w:r>
        <w:rPr>
          <w:rFonts w:ascii="Times New Roman" w:hAnsi="Times New Roman"/>
          <w:sz w:val="20"/>
        </w:rPr>
        <w:t xml:space="preserve">The pro forma adjustments reflecting the consummation of the Business Combination are based on certain currently available information and certain assumptions and methodologies that management believes are reasonable under the circumstances. The unaudited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Management believes that its assumptions and methodologies provide a reasonable basis for presenting all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Live Oak and Teamshares have not had any historical relationship prior to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Accordingly, no pro forma adjustments were required to eliminate activities between the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Adjustments to Unaudited Pro Forma Condensed Combined 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balance sheet as of March 31, 2026 reflects the following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pro forma adjustments to cash to reflect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58"/>
        <w:gridCol w:w="301"/>
        <w:gridCol w:w="60"/>
        <w:gridCol w:w="962"/>
        <w:gridCol w:w="158"/>
      </w:tblGrid>
      <w:tr>
        <w:trPr/>
        <w:tc>
          <w:tcPr>
            <w:tcW w:w="5458"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held in Trust Account(1)</w:t>
            </w:r>
          </w:p>
        </w:tc>
        <w:tc>
          <w:tcPr>
            <w:tcW w:w="3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48,149</w:t>
            </w:r>
          </w:p>
        </w:tc>
        <w:tc>
          <w:tcPr>
            <w:tcW w:w="158" w:type="dxa"/>
            <w:tcBorders/>
            <w:shd w:fill="CCEEFF" w:val="clear"/>
            <w:vAlign w:val="bottom"/>
          </w:tcPr>
          <w:p>
            <w:pPr>
              <w:pStyle w:val="TableContents"/>
              <w:bidi w:val="0"/>
              <w:spacing w:before="0" w:after="283"/>
              <w:jc w:val="left"/>
              <w:rPr/>
            </w:pPr>
            <w:r>
              <w:rPr/>
              <w:t> </w:t>
            </w:r>
          </w:p>
        </w:tc>
      </w:tr>
      <w:tr>
        <w:trPr/>
        <w:tc>
          <w:tcPr>
            <w:tcW w:w="5458"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Initial PIPE Subscription Agreements(2)</w:t>
            </w:r>
          </w:p>
        </w:tc>
        <w:tc>
          <w:tcPr>
            <w:tcW w:w="3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126,500</w:t>
            </w:r>
          </w:p>
        </w:tc>
        <w:tc>
          <w:tcPr>
            <w:tcW w:w="158" w:type="dxa"/>
            <w:tcBorders/>
            <w:vAlign w:val="bottom"/>
          </w:tcPr>
          <w:p>
            <w:pPr>
              <w:pStyle w:val="TableContents"/>
              <w:bidi w:val="0"/>
              <w:spacing w:before="0" w:after="283"/>
              <w:jc w:val="left"/>
              <w:rPr/>
            </w:pPr>
            <w:r>
              <w:rPr/>
              <w:t> </w:t>
            </w:r>
          </w:p>
        </w:tc>
      </w:tr>
      <w:tr>
        <w:trPr/>
        <w:tc>
          <w:tcPr>
            <w:tcW w:w="5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accrued transaction costs by Live Oak(3)</w:t>
            </w:r>
          </w:p>
        </w:tc>
        <w:tc>
          <w:tcPr>
            <w:tcW w:w="3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(15,731</w:t>
            </w:r>
          </w:p>
        </w:tc>
        <w:tc>
          <w:tcPr>
            <w:tcW w:w="158" w:type="dxa"/>
            <w:tcBorders/>
            <w:shd w:fill="CCEEFF" w:val="clear"/>
            <w:vAlign w:val="bottom"/>
          </w:tcPr>
          <w:p>
            <w:pPr>
              <w:pStyle w:val="TableContents"/>
              <w:bidi w:val="0"/>
              <w:spacing w:before="0" w:after="283"/>
              <w:jc w:val="left"/>
              <w:rPr/>
            </w:pPr>
            <w:r>
              <w:rPr/>
              <w:t>) </w:t>
            </w:r>
          </w:p>
        </w:tc>
      </w:tr>
      <w:tr>
        <w:trPr/>
        <w:tc>
          <w:tcPr>
            <w:tcW w:w="5458" w:type="dxa"/>
            <w:tcBorders/>
          </w:tcPr>
          <w:p>
            <w:pPr>
              <w:pStyle w:val="TableContents"/>
              <w:bidi w:val="0"/>
              <w:spacing w:before="0" w:after="0"/>
              <w:jc w:val="left"/>
              <w:rPr>
                <w:rFonts w:ascii="Times New Roman" w:hAnsi="Times New Roman"/>
                <w:sz w:val="20"/>
              </w:rPr>
            </w:pPr>
            <w:r>
              <w:rPr>
                <w:rFonts w:ascii="Times New Roman" w:hAnsi="Times New Roman"/>
                <w:sz w:val="20"/>
              </w:rPr>
              <w:t>Payment of accrued transaction costs by Teamshares(4)</w:t>
            </w:r>
          </w:p>
        </w:tc>
        <w:tc>
          <w:tcPr>
            <w:tcW w:w="3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(7,358</w:t>
            </w:r>
          </w:p>
        </w:tc>
        <w:tc>
          <w:tcPr>
            <w:tcW w:w="158" w:type="dxa"/>
            <w:tcBorders/>
            <w:vAlign w:val="bottom"/>
          </w:tcPr>
          <w:p>
            <w:pPr>
              <w:pStyle w:val="TableContents"/>
              <w:bidi w:val="0"/>
              <w:spacing w:before="0" w:after="283"/>
              <w:jc w:val="left"/>
              <w:rPr/>
            </w:pPr>
            <w:r>
              <w:rPr/>
              <w:t>) </w:t>
            </w:r>
          </w:p>
        </w:tc>
      </w:tr>
      <w:tr>
        <w:trPr/>
        <w:tc>
          <w:tcPr>
            <w:tcW w:w="5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the debt obligations concurrent with the merger(5)</w:t>
            </w:r>
          </w:p>
        </w:tc>
        <w:tc>
          <w:tcPr>
            <w:tcW w:w="3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(37,060</w:t>
            </w:r>
          </w:p>
        </w:tc>
        <w:tc>
          <w:tcPr>
            <w:tcW w:w="158" w:type="dxa"/>
            <w:tcBorders/>
            <w:shd w:fill="CCEEFF" w:val="clear"/>
            <w:vAlign w:val="bottom"/>
          </w:tcPr>
          <w:p>
            <w:pPr>
              <w:pStyle w:val="TableContents"/>
              <w:bidi w:val="0"/>
              <w:spacing w:before="0" w:after="283"/>
              <w:jc w:val="left"/>
              <w:rPr/>
            </w:pPr>
            <w:r>
              <w:rPr/>
              <w:t>) </w:t>
            </w:r>
          </w:p>
        </w:tc>
      </w:tr>
      <w:tr>
        <w:trPr/>
        <w:tc>
          <w:tcPr>
            <w:tcW w:w="5458"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Teamshares SAFEs subsequent to March 31, 2026(6)</w:t>
            </w:r>
          </w:p>
        </w:tc>
        <w:tc>
          <w:tcPr>
            <w:tcW w:w="3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2,230</w:t>
            </w:r>
          </w:p>
        </w:tc>
        <w:tc>
          <w:tcPr>
            <w:tcW w:w="158" w:type="dxa"/>
            <w:tcBorders/>
            <w:vAlign w:val="bottom"/>
          </w:tcPr>
          <w:p>
            <w:pPr>
              <w:pStyle w:val="TableContents"/>
              <w:bidi w:val="0"/>
              <w:spacing w:before="0" w:after="283"/>
              <w:jc w:val="left"/>
              <w:rPr/>
            </w:pPr>
            <w:r>
              <w:rPr/>
              <w:t> </w:t>
            </w:r>
          </w:p>
        </w:tc>
      </w:tr>
      <w:tr>
        <w:trPr/>
        <w:tc>
          <w:tcPr>
            <w:tcW w:w="5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the Prepayment Amount related to the Forward Purchase Agreement(7)</w:t>
            </w:r>
          </w:p>
        </w:tc>
        <w:tc>
          <w:tcPr>
            <w:tcW w:w="3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(42,240</w:t>
            </w:r>
          </w:p>
        </w:tc>
        <w:tc>
          <w:tcPr>
            <w:tcW w:w="158" w:type="dxa"/>
            <w:tcBorders/>
            <w:shd w:fill="CCEEFF" w:val="clear"/>
            <w:vAlign w:val="bottom"/>
          </w:tcPr>
          <w:p>
            <w:pPr>
              <w:pStyle w:val="TableContents"/>
              <w:bidi w:val="0"/>
              <w:spacing w:before="0" w:after="283"/>
              <w:jc w:val="left"/>
              <w:rPr/>
            </w:pPr>
            <w:r>
              <w:rPr/>
              <w:t>) </w:t>
            </w:r>
          </w:p>
        </w:tc>
      </w:tr>
      <w:tr>
        <w:trPr/>
        <w:tc>
          <w:tcPr>
            <w:tcW w:w="545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b/>
              </w:rPr>
            </w:pPr>
            <w:r>
              <w:rPr>
                <w:b/>
              </w:rPr>
              <w:t>74,490</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cash equivalents held in the trust account inclusive of accrued interest and after giving effect to the impact of redemptions. See adjustment (B) for the corresponding offset.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proceeds of approximately $126.5 million from the issuance and sale of 13,750,000 shares of Common Stock at $9.20 per share in the Initial PIPE Investment transaction pursuant to the Initial PIPE Subscription Agreements. See adjustment (F)(1) for the corresponding offset to Common Stock and adjustment (G)(2) for the corresponding offset to additional paid-in capital.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$15.7 million of transaction costs incurred by Live Oak, including: (i) $9.1 million of transaction costs that were incurred prior to March 31, 2026 that will be paid concurrent with the Merger, of which, $0.3 million were recorded as Deferred Underwriting Fee (reduced from $6.9 million), $6.9 million were recorded as Deferred Advisory Fee related to Live Oak’s Initial Public Offering, $1.8 million were recorded as Accrued Expenses, and $0.1 million were recorded as Accrued Offering Costs as of March 31, 2026. (See adjustment (C) for the corresponding offsets to these accounts). These costs were expensed as incurred. The $0.3 million Deferred Underwriting Fee is included in the approximately $4.1 million that Santander received pursuant to the terms of the Teamshares-Santander Advisory and Placement Agent Agreement. (ii) $6.7 million of transaction fees incurred after March 31, 2026, including the $3.8 million PIPE Placement Fee, and $2.9 million of legal and advisory fees. See adjustment (G)(10) for the corresponding offset. The $3.8 million PIPE Placement Fee is included in the approximately $4.1 million that Santander received pursuant to the terms of the Teamshares-Santander Advisory and Placement Agent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$7.4 million of transaction costs incurred by Teamshares, including: (i) $2.2 million of transaction costs recorded in Accounts Payable as of March 31, 2026 payable concurrent with the Merger (See adjustment (L) for the offset to accounts payable). These fees include legal and advisory services directly supporting the preparation and filing of the registration statement. These fees were concurrently reclassified to a reduction in additional paid-in capital concurrent with the Closing, up to the gross proceeds of the offering. See adjustments (M) and (G)(9) for discussion of Other Current Assets and additional paid-in capital, respectively. Management evaluated the nature of all transaction-related costs in accordance with Staff Accounting Bulletin Topic 5.A and ASC 340 10-S99-1. (ii) A total of $2.1 million of transaction costs that were incurred prior to March 31, 2026 that were not directly attributable to the offering, and therefore were expensed as incurred. These fees include legal and advisory services related to the negotiation and structuring of the Merger Agreement, accounting and audit services for historical financial statements, and other professional services that are not directly attributable to the offering. These costs were recorded in Accounts Payable as of March 31, 2026 and were payable concurrently with the Merger. See adjustment (L) for the offset to accounts payable. (iii) $2.3 million of legal and advisory costs incurred after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March 31, 2026 that are specific incremental costs directly attributable to the offering. The nature of these costs is consistent with those described in adjustment (A)(4)(i). See adjustment (G)(9) for the corresponding offset. (iv) $0.8 million of transaction costs incurred after March 31, 2026 that are not specific incremental costs directly attributable to the offering. The nature of these costs is consistent with those described in adjustment (A)(4)(ii). See adjustment (H)(3) for the corresponding offset.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repayment of $33.9 million in connection with the maturity of the HBC Credit Facility which was paid upon the Closing (see adjustment (J)(1)), the payment of $1.0 million of HBC Fees in cash which will be payable upon the Closing (see adjustment (J)(2)), and the payment of $2.2 million of deferred consideration for an operating subsidiary that was acquired during 2025 which is required within 60 days of the Closing (see adjustment (J)(3)).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proceeds of $2.2 million from Teamshares SAFEs that were received subsequent to March 31, 2026. See adjustment (F)(4) for the corresponding offset to Common Stock and adjustment (G)(5) for the corresponding offset to additional paid-in capital.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$42.2 million Prepayment Amount paid by New Teamshares to the FPA Investor as described in the Forward Purchase Agreement. See adjustment (G)(13) for the corresponding offset.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approximately $48.1 million of cash and investments held in the trust account as of March 31, 2026 that becomes available following the Business Combination, after giving effect to the impact of redemptions. See adjustment (A)(1) for the corresponding offset.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$0.3 million of deferred underwriter fees (reduced from $6.9 million after redemptions; see adjustment (G)(15)), $6.9 million of deferred advisory fees incurred during the Live Oak initial public offering due upon completion of the Business Combination, $0.1 million of Accrued Offering Costs, and $1.8 million of Accrued Expenses that were accrued by Live Oak as of March 31, 2026 (See adjustment (A)(3)(i) for the corresponding offsets).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4,561,341 Live Oak public shares, subject to possible redemption, from mezzanine equity to permanent equity, after giving effect to the impact of redemptions of 18,438,659 shares. The unaudited pro forma condensed balance sheet reflects the reclassification with a corresponding increase of $48.1 million to additional paid in-capital (Adjustment (G)(1)) and an increase of an immaterial amount to Common Stock (Adjustment (F)(5)). The corresponding offset for cash paid to redeeming shareholders is included in adjustment (B).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of Live Oak Class B Ordinary Shares (which were converted into Live Oak Class B Common Stock pursuant to the Domestication and subsequently converted into Common Stock pursuant to the Interim Charter) to Common Stock in connection with the Business Combination. See adjustment (F)(6) for the corresponding offset to Common Stock and adjustment (G)(6) for the corresponding offset to additional paid-in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pro forma adjustments to Common Stock balance to reflect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6127"/>
        <w:gridCol w:w="302"/>
        <w:gridCol w:w="60"/>
        <w:gridCol w:w="388"/>
        <w:gridCol w:w="62"/>
      </w:tblGrid>
      <w:tr>
        <w:trPr/>
        <w:tc>
          <w:tcPr>
            <w:tcW w:w="6127"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from Initial PIPE financing per Initial PIPE Subscription Agreements(1)</w:t>
            </w:r>
          </w:p>
        </w:tc>
        <w:tc>
          <w:tcPr>
            <w:tcW w:w="3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1</w:t>
            </w:r>
          </w:p>
        </w:tc>
        <w:tc>
          <w:tcPr>
            <w:tcW w:w="62" w:type="dxa"/>
            <w:tcBorders/>
            <w:shd w:fill="CCEEFF" w:val="clear"/>
            <w:vAlign w:val="bottom"/>
          </w:tcPr>
          <w:p>
            <w:pPr>
              <w:pStyle w:val="TableContents"/>
              <w:bidi w:val="0"/>
              <w:spacing w:before="0" w:after="283"/>
              <w:jc w:val="left"/>
              <w:rPr/>
            </w:pPr>
            <w:r>
              <w:rPr/>
              <w:t> </w:t>
            </w:r>
          </w:p>
        </w:tc>
      </w:tr>
      <w:tr>
        <w:trPr/>
        <w:tc>
          <w:tcPr>
            <w:tcW w:w="6127" w:type="dxa"/>
            <w:tcBorders/>
          </w:tcPr>
          <w:p>
            <w:pPr>
              <w:pStyle w:val="TableContents"/>
              <w:bidi w:val="0"/>
              <w:spacing w:before="0" w:after="0"/>
              <w:jc w:val="left"/>
              <w:rPr>
                <w:rFonts w:ascii="Times New Roman" w:hAnsi="Times New Roman"/>
                <w:sz w:val="20"/>
              </w:rPr>
            </w:pPr>
            <w:r>
              <w:rPr>
                <w:rFonts w:ascii="Times New Roman" w:hAnsi="Times New Roman"/>
                <w:sz w:val="20"/>
              </w:rPr>
              <w:t>Recapitalization of Teamshares preferred stock and common stock to Common Stock(2)</w:t>
            </w:r>
          </w:p>
        </w:tc>
        <w:tc>
          <w:tcPr>
            <w:tcW w:w="3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6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from exercised Teamshares Warrants(3)</w:t>
            </w:r>
          </w:p>
        </w:tc>
        <w:tc>
          <w:tcPr>
            <w:tcW w:w="3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6127"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from conversion of Teamshares SAFEs(4)</w:t>
            </w:r>
          </w:p>
        </w:tc>
        <w:tc>
          <w:tcPr>
            <w:tcW w:w="3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6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 of Live Oak public shares subject to redemption, to permanent equity(5)</w:t>
            </w:r>
          </w:p>
        </w:tc>
        <w:tc>
          <w:tcPr>
            <w:tcW w:w="3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6127"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Live Oak Class B Ordinary Shares (which were converted into Live Oak Class B Common Stock pursuant to the Domestication and subsequently converted into Common Stock pursuant to the Interim Charter) to Common Stock in connection with the Business Combination(6)</w:t>
            </w:r>
          </w:p>
        </w:tc>
        <w:tc>
          <w:tcPr>
            <w:tcW w:w="3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6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Incentive Founder Shares to investors who entered into NRAs(7)</w:t>
            </w:r>
          </w:p>
        </w:tc>
        <w:tc>
          <w:tcPr>
            <w:tcW w:w="3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612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b/>
              </w:rPr>
            </w:pPr>
            <w:r>
              <w:rPr>
                <w:b/>
              </w:rPr>
              <w:t>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proceeds of approximately $126.5 million from the issuance and sale of 13,750,000 shares of Common Stock (par value of $0.0001 per share) at $9.20 per share in the Initial PIPE Investment transaction pursuant to the Initial PIPE Subscription Agreements. See adjustment (A)(2) for the corresponding offset in cash and adjustment (G)(2) for the corresponding offset to additional paid-in capital.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Recapitalization of Teamshares preferred stock and common stock into 49,214,976 shares of Common Stock (par value of $0.0001 per share). See adjustment (P) for the offset to Teamshares’ Common Stock and Preferred Stock Par Value and adjustment (G)(3) for the corresponding offset in additional paid-in capital.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issuance of 220,942 shares of Common Stock (par value of $0.0001 per share) in relation to exercised Teamshares Warrants. See adjustment (N) for the offset to warrant liability and adjustment (G)(4) for the offset to additional paid-in capital.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issuance of 751,343 shares of Common Stock (par value of $0.0001 per share) in relation to Teamshares SAFEs. $4.1 million of the SAFEs were received in 2025 and during the three months ended March 31, 2026 and $2.2 million were received subsequent to March 31, 2026. See adjustment (O) for the offset related to the SAFE liability as of March 31, 2026, adjustment (A)(6) for the SAFEs received subsequent to March 31, 2026, and adjustment (G)(5) for the offset to additional paid-in capital.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Live Oak public shares subject to redemption, after giving effect to the impact of redemptions, to permanent equity. This results in the issuance of 4,561,341 shares of Common Stock (par value of $0.0001 per share). See adjustment (D) for the corresponding offset to Live Oak public shares subject to redemption and adjustment (G)(1) for the offset to additional paid-in capital.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of Live Oak Class B Ordinary Shares (which were converted into Live Oak Class B Common Stock pursuant to the Domestication and subsequently converted into Common Stock pursuant to the Interim Charter) to 3,450,000 shares of Common Stock (par value of $0.0001 per share) in connection with the Business Combination. See adjustment (E) for offset to Live Oak Class B Ordinary Shares and adjustment (G)(6) for the corresponding offset to additional paid-in capital.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issuance of 37,171 shares of Common Stock (par value of $0.0001 per share) to investors who entered into non-redemption agreements (NRAs). See adjustment (E) for offset to Live Oak Class B Ordinary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pro forma adjustments to additional paid-in capital balance to reflect the following: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7136"/>
        <w:gridCol w:w="282"/>
        <w:gridCol w:w="60"/>
        <w:gridCol w:w="937"/>
        <w:gridCol w:w="157"/>
      </w:tblGrid>
      <w:tr>
        <w:trPr/>
        <w:tc>
          <w:tcPr>
            <w:tcW w:w="7136"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 of Live Oak public shares subject to redemption, to permanent equity, and increase in par value of common stock(1)</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48,149</w:t>
            </w:r>
          </w:p>
        </w:tc>
        <w:tc>
          <w:tcPr>
            <w:tcW w:w="157" w:type="dxa"/>
            <w:tcBorders/>
            <w:shd w:fill="CCEEFF" w:val="clear"/>
            <w:vAlign w:val="bottom"/>
          </w:tcPr>
          <w:p>
            <w:pPr>
              <w:pStyle w:val="TableContents"/>
              <w:bidi w:val="0"/>
              <w:spacing w:before="0" w:after="283"/>
              <w:jc w:val="left"/>
              <w:rPr/>
            </w:pPr>
            <w:r>
              <w:rPr/>
              <w:t> </w:t>
            </w:r>
          </w:p>
        </w:tc>
      </w:tr>
      <w:tr>
        <w:trPr/>
        <w:tc>
          <w:tcPr>
            <w:tcW w:w="7136"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from Initial PIPE financing per Initial PIPE Subscription Agreements(2)</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126,499</w:t>
            </w:r>
          </w:p>
        </w:tc>
        <w:tc>
          <w:tcPr>
            <w:tcW w:w="157" w:type="dxa"/>
            <w:tcBorders/>
            <w:vAlign w:val="bottom"/>
          </w:tcPr>
          <w:p>
            <w:pPr>
              <w:pStyle w:val="TableContents"/>
              <w:bidi w:val="0"/>
              <w:spacing w:before="0" w:after="283"/>
              <w:jc w:val="left"/>
              <w:rPr/>
            </w:pPr>
            <w:r>
              <w:rPr/>
              <w:t> </w:t>
            </w:r>
          </w:p>
        </w:tc>
      </w:tr>
      <w:tr>
        <w:trPr/>
        <w:tc>
          <w:tcPr>
            <w:tcW w:w="7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Recapitalization of Teamshares preferred stock and common stock to Common Stock(3)</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(5</w:t>
            </w:r>
          </w:p>
        </w:tc>
        <w:tc>
          <w:tcPr>
            <w:tcW w:w="157" w:type="dxa"/>
            <w:tcBorders/>
            <w:shd w:fill="CCEEFF" w:val="clear"/>
            <w:vAlign w:val="bottom"/>
          </w:tcPr>
          <w:p>
            <w:pPr>
              <w:pStyle w:val="TableContents"/>
              <w:bidi w:val="0"/>
              <w:spacing w:before="0" w:after="283"/>
              <w:jc w:val="left"/>
              <w:rPr/>
            </w:pPr>
            <w:r>
              <w:rPr/>
              <w:t>) </w:t>
            </w:r>
          </w:p>
        </w:tc>
      </w:tr>
      <w:tr>
        <w:trPr/>
        <w:tc>
          <w:tcPr>
            <w:tcW w:w="7136"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from exercised Teamshares Warrants(4)</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2,209</w:t>
            </w:r>
          </w:p>
        </w:tc>
        <w:tc>
          <w:tcPr>
            <w:tcW w:w="157" w:type="dxa"/>
            <w:tcBorders/>
            <w:vAlign w:val="bottom"/>
          </w:tcPr>
          <w:p>
            <w:pPr>
              <w:pStyle w:val="TableContents"/>
              <w:bidi w:val="0"/>
              <w:spacing w:before="0" w:after="283"/>
              <w:jc w:val="left"/>
              <w:rPr/>
            </w:pPr>
            <w:r>
              <w:rPr/>
              <w:t> </w:t>
            </w:r>
          </w:p>
        </w:tc>
      </w:tr>
      <w:tr>
        <w:trPr/>
        <w:tc>
          <w:tcPr>
            <w:tcW w:w="7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from conversion of Teamshares SAFEs(5)</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6,330</w:t>
            </w:r>
          </w:p>
        </w:tc>
        <w:tc>
          <w:tcPr>
            <w:tcW w:w="157" w:type="dxa"/>
            <w:tcBorders/>
            <w:shd w:fill="CCEEFF" w:val="clear"/>
            <w:vAlign w:val="bottom"/>
          </w:tcPr>
          <w:p>
            <w:pPr>
              <w:pStyle w:val="TableContents"/>
              <w:bidi w:val="0"/>
              <w:spacing w:before="0" w:after="283"/>
              <w:jc w:val="left"/>
              <w:rPr/>
            </w:pPr>
            <w:r>
              <w:rPr/>
              <w:t> </w:t>
            </w:r>
          </w:p>
        </w:tc>
      </w:tr>
      <w:tr>
        <w:trPr/>
        <w:tc>
          <w:tcPr>
            <w:tcW w:w="7136"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Live Oak Class B Ordinary Shares (which were converted into Live Oak Class B Common Stock pursuant to the Domestication and subsequently converted into Common Stock in connection with the Closing) to Common Stock in connection with the Business Combination(6)</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w:t>
            </w:r>
          </w:p>
        </w:tc>
        <w:tc>
          <w:tcPr>
            <w:tcW w:w="157" w:type="dxa"/>
            <w:tcBorders/>
            <w:vAlign w:val="bottom"/>
          </w:tcPr>
          <w:p>
            <w:pPr>
              <w:pStyle w:val="TableContents"/>
              <w:bidi w:val="0"/>
              <w:spacing w:before="0" w:after="283"/>
              <w:jc w:val="left"/>
              <w:rPr/>
            </w:pPr>
            <w:r>
              <w:rPr/>
              <w:t> </w:t>
            </w:r>
          </w:p>
        </w:tc>
      </w:tr>
      <w:tr>
        <w:trPr/>
        <w:tc>
          <w:tcPr>
            <w:tcW w:w="7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Record offset for contingent consideration liability for Earnout Shares(7)</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(41,622</w:t>
            </w:r>
          </w:p>
        </w:tc>
        <w:tc>
          <w:tcPr>
            <w:tcW w:w="157" w:type="dxa"/>
            <w:tcBorders/>
            <w:shd w:fill="CCEEFF" w:val="clear"/>
            <w:vAlign w:val="bottom"/>
          </w:tcPr>
          <w:p>
            <w:pPr>
              <w:pStyle w:val="TableContents"/>
              <w:bidi w:val="0"/>
              <w:spacing w:before="0" w:after="283"/>
              <w:jc w:val="left"/>
              <w:rPr/>
            </w:pPr>
            <w:r>
              <w:rPr/>
              <w:t>) </w:t>
            </w:r>
          </w:p>
        </w:tc>
      </w:tr>
      <w:tr>
        <w:trPr/>
        <w:tc>
          <w:tcPr>
            <w:tcW w:w="7136" w:type="dxa"/>
            <w:tcBorders/>
          </w:tcPr>
          <w:p>
            <w:pPr>
              <w:pStyle w:val="TableContents"/>
              <w:bidi w:val="0"/>
              <w:spacing w:before="0" w:after="0"/>
              <w:jc w:val="left"/>
              <w:rPr>
                <w:rFonts w:ascii="Times New Roman" w:hAnsi="Times New Roman"/>
                <w:sz w:val="20"/>
              </w:rPr>
            </w:pPr>
            <w:r>
              <w:rPr>
                <w:rFonts w:ascii="Times New Roman" w:hAnsi="Times New Roman"/>
                <w:sz w:val="20"/>
              </w:rPr>
              <w:t>Record offset for contingent consideration liability for Deferred Founder Shares(8)</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(14,646</w:t>
            </w:r>
          </w:p>
        </w:tc>
        <w:tc>
          <w:tcPr>
            <w:tcW w:w="157" w:type="dxa"/>
            <w:tcBorders/>
            <w:vAlign w:val="bottom"/>
          </w:tcPr>
          <w:p>
            <w:pPr>
              <w:pStyle w:val="TableContents"/>
              <w:bidi w:val="0"/>
              <w:spacing w:before="0" w:after="283"/>
              <w:jc w:val="left"/>
              <w:rPr/>
            </w:pPr>
            <w:r>
              <w:rPr/>
              <w:t>) </w:t>
            </w:r>
          </w:p>
        </w:tc>
      </w:tr>
      <w:tr>
        <w:trPr/>
        <w:tc>
          <w:tcPr>
            <w:tcW w:w="7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Reduction in APIC related to transaction costs directly attributable to the offering incurred by Teamshares(9)</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(3,370</w:t>
            </w:r>
          </w:p>
        </w:tc>
        <w:tc>
          <w:tcPr>
            <w:tcW w:w="157" w:type="dxa"/>
            <w:tcBorders/>
            <w:shd w:fill="CCEEFF" w:val="clear"/>
            <w:vAlign w:val="bottom"/>
          </w:tcPr>
          <w:p>
            <w:pPr>
              <w:pStyle w:val="TableContents"/>
              <w:bidi w:val="0"/>
              <w:spacing w:before="0" w:after="283"/>
              <w:jc w:val="left"/>
              <w:rPr/>
            </w:pPr>
            <w:r>
              <w:rPr/>
              <w:t>) </w:t>
            </w:r>
          </w:p>
        </w:tc>
      </w:tr>
      <w:tr>
        <w:trPr/>
        <w:tc>
          <w:tcPr>
            <w:tcW w:w="7136" w:type="dxa"/>
            <w:tcBorders/>
          </w:tcPr>
          <w:p>
            <w:pPr>
              <w:pStyle w:val="TableContents"/>
              <w:bidi w:val="0"/>
              <w:spacing w:before="0" w:after="0"/>
              <w:jc w:val="left"/>
              <w:rPr>
                <w:rFonts w:ascii="Times New Roman" w:hAnsi="Times New Roman"/>
                <w:sz w:val="20"/>
              </w:rPr>
            </w:pPr>
            <w:r>
              <w:rPr>
                <w:rFonts w:ascii="Times New Roman" w:hAnsi="Times New Roman"/>
                <w:sz w:val="20"/>
              </w:rPr>
              <w:t>Reduction in APIC related to costs incurred by Live Oak after March 31, 2026(10)</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(6,680</w:t>
            </w:r>
          </w:p>
        </w:tc>
        <w:tc>
          <w:tcPr>
            <w:tcW w:w="157" w:type="dxa"/>
            <w:tcBorders/>
            <w:vAlign w:val="bottom"/>
          </w:tcPr>
          <w:p>
            <w:pPr>
              <w:pStyle w:val="TableContents"/>
              <w:bidi w:val="0"/>
              <w:spacing w:before="0" w:after="283"/>
              <w:jc w:val="left"/>
              <w:rPr/>
            </w:pPr>
            <w:r>
              <w:rPr/>
              <w:t>) </w:t>
            </w:r>
          </w:p>
        </w:tc>
      </w:tr>
      <w:tr>
        <w:trPr/>
        <w:tc>
          <w:tcPr>
            <w:tcW w:w="7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Live Oak’s historical accumulated deficit(11)</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(30,986</w:t>
            </w:r>
          </w:p>
        </w:tc>
        <w:tc>
          <w:tcPr>
            <w:tcW w:w="157" w:type="dxa"/>
            <w:tcBorders/>
            <w:shd w:fill="CCEEFF" w:val="clear"/>
            <w:vAlign w:val="bottom"/>
          </w:tcPr>
          <w:p>
            <w:pPr>
              <w:pStyle w:val="TableContents"/>
              <w:bidi w:val="0"/>
              <w:spacing w:before="0" w:after="283"/>
              <w:jc w:val="left"/>
              <w:rPr/>
            </w:pPr>
            <w:r>
              <w:rPr/>
              <w:t>) </w:t>
            </w:r>
          </w:p>
        </w:tc>
      </w:tr>
      <w:tr>
        <w:trPr/>
        <w:tc>
          <w:tcPr>
            <w:tcW w:w="7136" w:type="dxa"/>
            <w:tcBorders/>
          </w:tcPr>
          <w:p>
            <w:pPr>
              <w:pStyle w:val="TableContents"/>
              <w:bidi w:val="0"/>
              <w:spacing w:before="0" w:after="0"/>
              <w:jc w:val="left"/>
              <w:rPr>
                <w:rFonts w:ascii="Times New Roman" w:hAnsi="Times New Roman"/>
                <w:sz w:val="20"/>
              </w:rPr>
            </w:pPr>
            <w:r>
              <w:rPr>
                <w:rFonts w:ascii="Times New Roman" w:hAnsi="Times New Roman"/>
                <w:sz w:val="20"/>
              </w:rPr>
              <w:t>Increase in APIC related to the elimination of gains and losses on Live Oak’s PIPE Subscription Agreements Liability(12)</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16,539</w:t>
            </w:r>
          </w:p>
        </w:tc>
        <w:tc>
          <w:tcPr>
            <w:tcW w:w="157" w:type="dxa"/>
            <w:tcBorders/>
            <w:vAlign w:val="bottom"/>
          </w:tcPr>
          <w:p>
            <w:pPr>
              <w:pStyle w:val="TableContents"/>
              <w:bidi w:val="0"/>
              <w:spacing w:before="0" w:after="283"/>
              <w:jc w:val="left"/>
              <w:rPr/>
            </w:pPr>
            <w:r>
              <w:rPr/>
              <w:t> </w:t>
            </w:r>
          </w:p>
        </w:tc>
      </w:tr>
      <w:tr>
        <w:trPr/>
        <w:tc>
          <w:tcPr>
            <w:tcW w:w="7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the Prepayment Amount related to the Forward Purchase Agreement(13)</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(42,240</w:t>
            </w:r>
          </w:p>
        </w:tc>
        <w:tc>
          <w:tcPr>
            <w:tcW w:w="157" w:type="dxa"/>
            <w:tcBorders/>
            <w:shd w:fill="CCEEFF" w:val="clear"/>
            <w:vAlign w:val="bottom"/>
          </w:tcPr>
          <w:p>
            <w:pPr>
              <w:pStyle w:val="TableContents"/>
              <w:bidi w:val="0"/>
              <w:spacing w:before="0" w:after="283"/>
              <w:jc w:val="left"/>
              <w:rPr/>
            </w:pPr>
            <w:r>
              <w:rPr/>
              <w:t>) </w:t>
            </w:r>
          </w:p>
        </w:tc>
      </w:tr>
      <w:tr>
        <w:trPr/>
        <w:tc>
          <w:tcPr>
            <w:tcW w:w="7136" w:type="dxa"/>
            <w:tcBorders/>
          </w:tcPr>
          <w:p>
            <w:pPr>
              <w:pStyle w:val="TableContents"/>
              <w:bidi w:val="0"/>
              <w:spacing w:before="0" w:after="0"/>
              <w:jc w:val="left"/>
              <w:rPr>
                <w:rFonts w:ascii="Times New Roman" w:hAnsi="Times New Roman"/>
                <w:sz w:val="20"/>
              </w:rPr>
            </w:pPr>
            <w:r>
              <w:rPr>
                <w:rFonts w:ascii="Times New Roman" w:hAnsi="Times New Roman"/>
                <w:sz w:val="20"/>
              </w:rPr>
              <w:t>Reduction in APIC related to the fair value of the Forward Purchase Agreement Liability(14)</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(8,083</w:t>
            </w:r>
          </w:p>
        </w:tc>
        <w:tc>
          <w:tcPr>
            <w:tcW w:w="157" w:type="dxa"/>
            <w:tcBorders/>
            <w:vAlign w:val="bottom"/>
          </w:tcPr>
          <w:p>
            <w:pPr>
              <w:pStyle w:val="TableContents"/>
              <w:bidi w:val="0"/>
              <w:spacing w:before="0" w:after="283"/>
              <w:jc w:val="left"/>
              <w:rPr/>
            </w:pPr>
            <w:r>
              <w:rPr/>
              <w:t>) </w:t>
            </w:r>
          </w:p>
        </w:tc>
      </w:tr>
      <w:tr>
        <w:trPr/>
        <w:tc>
          <w:tcPr>
            <w:tcW w:w="7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APIC related to the reduction of Santander Underwriting Fees(15)</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6,602</w:t>
            </w:r>
          </w:p>
        </w:tc>
        <w:tc>
          <w:tcPr>
            <w:tcW w:w="157" w:type="dxa"/>
            <w:tcBorders/>
            <w:shd w:fill="CCEEFF" w:val="clear"/>
            <w:vAlign w:val="bottom"/>
          </w:tcPr>
          <w:p>
            <w:pPr>
              <w:pStyle w:val="TableContents"/>
              <w:bidi w:val="0"/>
              <w:spacing w:before="0" w:after="283"/>
              <w:jc w:val="left"/>
              <w:rPr/>
            </w:pPr>
            <w:r>
              <w:rPr/>
              <w:t> </w:t>
            </w:r>
          </w:p>
        </w:tc>
      </w:tr>
      <w:tr>
        <w:trPr/>
        <w:tc>
          <w:tcPr>
            <w:tcW w:w="713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b/>
              </w:rPr>
            </w:pPr>
            <w:r>
              <w:rPr>
                <w:b/>
              </w:rPr>
              <w:t>58,696</w:t>
            </w:r>
          </w:p>
        </w:tc>
        <w:tc>
          <w:tcPr>
            <w:tcW w:w="15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Live Oak Public Shares subject to redemption, after giving effect to the impact of redemptions, to permanent equity. This results in the issuance of 4,561,341 shares of Common Stock (par value of $0.0001 per share). See adjustment (D) for the corresponding offset to Live Oak Public Shares subject to redemption and adjustment (F)(5) for the offset to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proceeds of approximately $126.5 million from the issuance and sale of 13,750,000 shares of Common Stock (par value of $0.0001 per share) at $9.20 per share upon consummation of the Initial PIPE Investment transaction pursuant to the Initial PIPE Subscription Agreements. See adjustment (A)(2) for the corresponding offset in cash and adjustment (F)(1) for the corresponding offset to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Recapitalization of shares of Teamshares preferred stock and common stock into 49,214,976 shares of Common Stock (par value of $0.0001 per share). See adjustment (P) for the offset to Teamshares’ Common Stock and Preferred Stock Par Value and adjustment (F)(2) for the offset to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issuance of 220,942 shares of Common Stock (par value of $0.0001 per share) in relation to exercised Teamshares Warrants. See adjustment (N) for the corresponding offset to warrant liability and adjustment (F)(3) for the corresponding offset to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issuance of 751,343 shares of Common Stock (par value of $0.0001 per share) in relation to Teamshares SAFEs. $4.1 million of the SAFEs were received in 2025 and during the three months ended March 31, 2026 and $2.2 million were received subsequent to March 31, 2026. See adjustment (O) for the corresponding offset related to the SAFE liability as of March 31, 2026, adjustment (A)(6) for the SAFEs received subsequent to March 31, 2026, and adjustment (F)(4) for the corresponding offset to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of Live Oak Class B Ordinary Shares (which, upon Domestication, became shares of Live Oak Class B Common Stock, corresponding, upon the Closing, to an equivalent number of shares of Common Stock) to 3,450,000 shares of Common Stock (par value of $0.0001 per share) in connection with the Business Combination. See adjustment (E) for offset to Live Oak Class B Ordinary Shares and adjustment (F)(6) for the offset to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offset for contingent consideration liability for Earnout Shares. See adjustment (I) for the corresponding offset.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offset for contingent consideration liability for Deferred Founder Shares. See adjustment (K) for the corresponding offset.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$1.1 million of directly attributable transaction costs that are included within Other Current Assets of Teamshares and $2.3 million of specific incremental costs directly attributable to the transaction that were incurred after March 31, 2026 through the Closing Date. In accordance with SAB Topic 5.A., management concluded that transaction costs that are directly attributable to the Merger may be capitalized up to the gross proceeds of the offering, and that Live Oak’s Cash and cash equivalents represents the expected gross proceeds of the Merger. Therefore, directly attributable transaction costs in excess of Live Oak’s Cash and cash equivalents are expensed as incurred. See adjustment (M) for the corresponding offset to Other Current Assets and see adjustment (A)(4)(iii) for the corresponding offset to the $2.3 million of expected transaction costs subsequent to March 31,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$6.7 million of transaction costs were incurred by Live Oak after March 31, 2026, through the Closing Date. See adjustment (A)(3)(ii) for the corresponding offset. These transaction costs are included in this balance, as they would be charged to accumulated deficit of Live Oak and concurrently eliminated to additional paid-in capital.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Elimination of Live Oak’s historical accumulated deficit. See adjustment (H)(1) for the corresponding offset.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Elimination of gains and losses on Live Oak’s PIPE Subscription Agreements liability that were recorded in Live Oak’s historical accumulated deficit. See adjustment (Q) for the corresponding offset.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the Prepayment Amount related to the Forward Purchase Agreement. The Company believes that the substance of this payment is akin to a subscription receivable for shares in New Teamshares. As such, this payment has been presented as a reduction of Additional Paid-In Capital. See adjustment (A)(7) for the corresponding offset.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fair value of the Forward Purchase Agreement Liability. See adjustment (R) for the corresponding offset.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portion of the Deferred Underwriting Fee that was reduced after giving effect to the impact of redemptions. See adjustment (A)(3)(i) for corresponding offset to cash, and adjustment (C) for the corresponding offset to Deferred Underwriting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(H)</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pro forma adjustments to the accumulated deficit balance to reflect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55"/>
        <w:gridCol w:w="292"/>
        <w:gridCol w:w="60"/>
        <w:gridCol w:w="773"/>
        <w:gridCol w:w="159"/>
      </w:tblGrid>
      <w:tr>
        <w:trPr/>
        <w:tc>
          <w:tcPr>
            <w:tcW w:w="5655"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Live Oak’s historical accumulated deficit(1)</w:t>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30,986</w:t>
            </w:r>
          </w:p>
        </w:tc>
        <w:tc>
          <w:tcPr>
            <w:tcW w:w="159"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Changes in accumulated deficit to reflect the gain on fair value of warrants due to the extinguishment of certain Teamshares warrants(2)</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672</w:t>
            </w:r>
          </w:p>
        </w:tc>
        <w:tc>
          <w:tcPr>
            <w:tcW w:w="159"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accumulated deficit for acquisition-related transaction expenses incurred by Teamshares that are not direct incremental costs attributable to the offering(3)</w:t>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(800</w:t>
            </w:r>
          </w:p>
        </w:tc>
        <w:tc>
          <w:tcPr>
            <w:tcW w:w="159"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b/>
              </w:rPr>
            </w:pPr>
            <w:r>
              <w:rPr>
                <w:b/>
              </w:rPr>
              <w:t>30,858</w:t>
            </w:r>
          </w:p>
        </w:tc>
        <w:tc>
          <w:tcPr>
            <w:tcW w:w="15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elimination of Live Oak’s accumulated deficit, in connection with the reverse recapitalization including the adjustment for accrued transaction expenses. See adjustment (G)(11) for the corresponding offset.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changes in accumulated deficit to reflect the gain on fair value of warrants due to the extinguishment of certain Teamshares warrants. See adjustment (N) for the corresponding offset.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amount of acquisition-related transaction expenses incurred by Teamshares that are not direct incremental costs attributable to the offering. See adjustment (A)(4)(iv) for the corresponding offset.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contingent consideration liability for the earnout shares for the eligible earnout participants. See adjustment (G)(7) for the corresponding offset.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(J)</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the following debt obligations concurrent with the merger: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40"/>
        <w:gridCol w:w="301"/>
        <w:gridCol w:w="60"/>
        <w:gridCol w:w="880"/>
        <w:gridCol w:w="158"/>
      </w:tblGrid>
      <w:tr>
        <w:trPr/>
        <w:tc>
          <w:tcPr>
            <w:tcW w:w="5540"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Reflects the repayment by Teamshares of amounts outstanding under the HBC Credit Facility concurrent with the Mergers.(1)</w:t>
            </w:r>
          </w:p>
        </w:tc>
        <w:tc>
          <w:tcPr>
            <w:tcW w:w="3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(33,850</w:t>
            </w:r>
          </w:p>
        </w:tc>
        <w:tc>
          <w:tcPr>
            <w:tcW w:w="158" w:type="dxa"/>
            <w:tcBorders/>
            <w:shd w:fill="CCEEFF" w:val="clear"/>
            <w:vAlign w:val="bottom"/>
          </w:tcPr>
          <w:p>
            <w:pPr>
              <w:pStyle w:val="TableContents"/>
              <w:bidi w:val="0"/>
              <w:spacing w:before="0" w:after="283"/>
              <w:jc w:val="left"/>
              <w:rPr/>
            </w:pPr>
            <w:r>
              <w:rPr/>
              <w:t>) </w:t>
            </w:r>
          </w:p>
        </w:tc>
      </w:tr>
      <w:tr>
        <w:trPr/>
        <w:tc>
          <w:tcPr>
            <w:tcW w:w="5540" w:type="dxa"/>
            <w:tcBorders/>
          </w:tcPr>
          <w:p>
            <w:pPr>
              <w:pStyle w:val="TableContents"/>
              <w:bidi w:val="0"/>
              <w:spacing w:before="0" w:after="0"/>
              <w:jc w:val="left"/>
              <w:rPr>
                <w:rFonts w:ascii="Times New Roman" w:hAnsi="Times New Roman"/>
                <w:sz w:val="20"/>
              </w:rPr>
            </w:pPr>
            <w:r>
              <w:rPr>
                <w:rFonts w:ascii="Times New Roman" w:hAnsi="Times New Roman"/>
                <w:sz w:val="20"/>
              </w:rPr>
              <w:t>Reflects the payment by Teamshares of HBC Fees in cash concurrent with the Mergers. (2)</w:t>
            </w:r>
          </w:p>
        </w:tc>
        <w:tc>
          <w:tcPr>
            <w:tcW w:w="3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(1,000</w:t>
            </w:r>
          </w:p>
        </w:tc>
        <w:tc>
          <w:tcPr>
            <w:tcW w:w="158" w:type="dxa"/>
            <w:tcBorders/>
            <w:vAlign w:val="bottom"/>
          </w:tcPr>
          <w:p>
            <w:pPr>
              <w:pStyle w:val="TableContents"/>
              <w:bidi w:val="0"/>
              <w:spacing w:before="0" w:after="283"/>
              <w:jc w:val="left"/>
              <w:rPr/>
            </w:pPr>
            <w:r>
              <w:rPr/>
              <w:t>) </w:t>
            </w:r>
          </w:p>
        </w:tc>
      </w:tr>
      <w:tr>
        <w:trPr/>
        <w:tc>
          <w:tcPr>
            <w:tcW w:w="5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Reflects the payment of deferred consideration for an operating subsidiary that was acquired during 2025. This payment is required within 60 days of the Closing.(3)</w:t>
            </w:r>
          </w:p>
        </w:tc>
        <w:tc>
          <w:tcPr>
            <w:tcW w:w="3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(2,210</w:t>
            </w:r>
          </w:p>
        </w:tc>
        <w:tc>
          <w:tcPr>
            <w:tcW w:w="158" w:type="dxa"/>
            <w:tcBorders/>
            <w:shd w:fill="CCEEFF" w:val="clear"/>
            <w:vAlign w:val="bottom"/>
          </w:tcPr>
          <w:p>
            <w:pPr>
              <w:pStyle w:val="TableContents"/>
              <w:bidi w:val="0"/>
              <w:spacing w:before="0" w:after="283"/>
              <w:jc w:val="left"/>
              <w:rPr/>
            </w:pPr>
            <w:r>
              <w:rPr/>
              <w:t>) </w:t>
            </w:r>
          </w:p>
        </w:tc>
      </w:tr>
      <w:tr>
        <w:trPr/>
        <w:tc>
          <w:tcPr>
            <w:tcW w:w="554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b/>
              </w:rPr>
            </w:pPr>
            <w:r>
              <w:rPr>
                <w:b/>
              </w:rPr>
              <w:t>(37,060</w:t>
            </w:r>
          </w:p>
        </w:tc>
        <w:tc>
          <w:tcPr>
            <w:tcW w:w="158" w:type="dxa"/>
            <w:tcBorders/>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adjustment (A)(5) for the corresponding offset.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adjustment (A)(5) for the corresponding offset.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adjustment (A)(5) for the corresponding offset.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(K)</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deferred liability for Deferred Founder Shares. See adjustment (G)(8) for the corresponding offset.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(L)</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$4.3 million of accounts payable related to accrued transaction costs incurred by Teamshares prior to March 31, 2026. See adjustment (A)(4)(i) and (A)(4)(ii) for the corresponding offsets.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(M)</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$1.1 million of transaction costs that were incurred in 2025 and during the three months ended March 31, 2026 by Teamshares that are directly attributable to the offering. These costs were recorded in Other Current Assets as of March 31, 2026 and were concurrently reclassified to a reduction in additional paid-in capital concurrent with the Closing. These fees include legal and advisory services directly supporting the preparation and filing of the registration statement. These costs were included in Accounts Payable as of March 31, 2026 (see adjustment (A)(4)(i)). See adjustment (G)(9) for the corresponding offset to additional paid-in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(N)</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removal of warrant liability related to Teamshares warrants as a result of the transaction. Reflects $2.2 million of outstanding Teamshares warrants that were exercised prior to the First Effective Time and $0.7 million of warrants that were extinguished as they were not exercised by the holders prior to the Closing. For the exercised warrants, see adjustment (F)(3) for the corresponding offset to Common Stock and adjustment (G)(4) for the corresponding offset to additional paid-in capital. For the extinguished warrants see adjustment (H)(2) for the corresponding offset.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conversion of $4.1 million of liabilities related to Teamshares SAFEs that Teamshares entered into with unaffiliated investors. Pursuant to the terms of the SAFEs, the instruments automatically converted into shares of New Teamshares immediately upon consummation of the Business Combination. See adjustment (F)(4) for the corresponding offset to Common Stock and adjustment (G)(5) for the corresponding offset to additional paid-in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(P)</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conversion of Teamshares’ Common Stock and Preferred Stock Par Value that were exchanged in the Transaction for shares of Common Stock. See adjustment (F)(2) for the corresponding offset to Common Stock and adjustment (G)(3) for the corresponding offset to additional paid-in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(Q)</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removal of the Initial PIPE Subscription Agreements liability that is recorded by Live Oak. The Initial PIPE Investment closed concurrently with the consummation of the Business Combination. See adjustment (G)(12) for the corresponding offset.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derivative liability that represents the estimated fair value of the Company’s settlement obligations under the Forward Purchase Agreement. The fair value of $8.1 million is based on the valuation of $2.02 per share using the Black-Scholes valuation model. See adjustment (G)(14) for the corresponding offset. The FPA Investor purchased 4,000,000 shares prior to the deadline described in the Forward Purchase Agreement. The prepayment amount of $42.2 million is based on the final redemption price of $10.56 per share.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Adjustments to Unaudited Pro Forma Condensed Combined Statements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pro forma adjustments included in the unaudited pro forma condensed combined statements of operations for the three months ended March 31, 2026 and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(AA) Represents pro forma adjustments related to selling, general, and administrative expense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58"/>
        <w:gridCol w:w="563"/>
        <w:gridCol w:w="325"/>
        <w:gridCol w:w="1304"/>
        <w:gridCol w:w="60"/>
        <w:gridCol w:w="563"/>
        <w:gridCol w:w="355"/>
        <w:gridCol w:w="1762"/>
        <w:gridCol w:w="65"/>
      </w:tblGrid>
      <w:tr>
        <w:trPr/>
        <w:tc>
          <w:tcPr>
            <w:tcW w:w="2758" w:type="dxa"/>
            <w:tcBorders/>
            <w:vAlign w:val="center"/>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758"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Three</w:t>
              <w:br/>
              <w:t>Months Ended</w:t>
              <w:br/>
              <w:t>March 31, 2026</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2117" w:type="dxa"/>
            <w:gridSpan w:val="2"/>
            <w:tcBorders>
              <w:bottom w:val="single" w:sz="8" w:space="0" w:color="000000"/>
            </w:tcBorders>
            <w:tcMar>
              <w:bottom w:w="28" w:type="dxa"/>
            </w:tcMar>
            <w:vAlign w:val="bottom"/>
          </w:tcPr>
          <w:p>
            <w:pPr>
              <w:pStyle w:val="TableContents"/>
              <w:bidi w:val="0"/>
              <w:spacing w:before="0" w:after="283"/>
              <w:jc w:val="center"/>
              <w:rPr/>
            </w:pPr>
            <w:r>
              <w:rPr>
                <w:b/>
              </w:rPr>
              <w:t>For the Year Ended</w:t>
            </w:r>
            <w:r>
              <w:rPr/>
              <w:br/>
            </w:r>
            <w:r>
              <w:rPr>
                <w:b/>
              </w:rPr>
              <w:t>December 31, 2025</w:t>
            </w:r>
          </w:p>
        </w:tc>
        <w:tc>
          <w:tcPr>
            <w:tcW w:w="65" w:type="dxa"/>
            <w:tcBorders/>
            <w:vAlign w:val="bottom"/>
          </w:tcPr>
          <w:p>
            <w:pPr>
              <w:pStyle w:val="TableContents"/>
              <w:bidi w:val="0"/>
              <w:spacing w:before="0" w:after="283"/>
              <w:jc w:val="left"/>
              <w:rPr/>
            </w:pPr>
            <w:r>
              <w:rPr/>
              <w:t> </w:t>
            </w:r>
          </w:p>
        </w:tc>
      </w:tr>
      <w:tr>
        <w:trPr/>
        <w:tc>
          <w:tcPr>
            <w:tcW w:w="2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transaction costs not yet incurred by Teamshares that are not directly attributable to the offering, and therefore are expensed as incurred</w:t>
            </w:r>
          </w:p>
        </w:tc>
        <w:tc>
          <w:tcPr>
            <w:tcW w:w="563"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w:t>
            </w:r>
          </w:p>
        </w:tc>
        <w:tc>
          <w:tcPr>
            <w:tcW w:w="1762" w:type="dxa"/>
            <w:tcBorders/>
            <w:shd w:fill="CCEEFF" w:val="clear"/>
            <w:vAlign w:val="bottom"/>
          </w:tcPr>
          <w:p>
            <w:pPr>
              <w:pStyle w:val="TableContents"/>
              <w:bidi w:val="0"/>
              <w:spacing w:before="0" w:after="283"/>
              <w:jc w:val="right"/>
              <w:rPr/>
            </w:pPr>
            <w:r>
              <w:rPr/>
              <w:t>800</w:t>
            </w:r>
          </w:p>
        </w:tc>
        <w:tc>
          <w:tcPr>
            <w:tcW w:w="65" w:type="dxa"/>
            <w:tcBorders/>
            <w:shd w:fill="CCEEFF" w:val="clear"/>
            <w:vAlign w:val="bottom"/>
          </w:tcPr>
          <w:p>
            <w:pPr>
              <w:pStyle w:val="TableContents"/>
              <w:bidi w:val="0"/>
              <w:spacing w:before="0" w:after="283"/>
              <w:jc w:val="left"/>
              <w:rPr/>
            </w:pPr>
            <w:r>
              <w:rPr/>
              <w:t> </w:t>
            </w:r>
          </w:p>
        </w:tc>
      </w:tr>
      <w:tr>
        <w:trPr/>
        <w:tc>
          <w:tcPr>
            <w:tcW w:w="2758" w:type="dxa"/>
            <w:tcBorders/>
          </w:tcPr>
          <w:p>
            <w:pPr>
              <w:pStyle w:val="TableContents"/>
              <w:bidi w:val="0"/>
              <w:spacing w:before="0" w:after="0"/>
              <w:jc w:val="left"/>
              <w:rPr>
                <w:rFonts w:ascii="Times New Roman" w:hAnsi="Times New Roman"/>
                <w:sz w:val="20"/>
              </w:rPr>
            </w:pPr>
            <w:r>
              <w:rPr>
                <w:rFonts w:ascii="Times New Roman" w:hAnsi="Times New Roman"/>
                <w:sz w:val="20"/>
              </w:rPr>
              <w:t>Additional transaction costs not yet incurred by Live Oak</w:t>
            </w:r>
          </w:p>
        </w:tc>
        <w:tc>
          <w:tcPr>
            <w:tcW w:w="563"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762" w:type="dxa"/>
            <w:tcBorders/>
            <w:vAlign w:val="bottom"/>
          </w:tcPr>
          <w:p>
            <w:pPr>
              <w:pStyle w:val="TableContents"/>
              <w:bidi w:val="0"/>
              <w:spacing w:before="0" w:after="283"/>
              <w:jc w:val="right"/>
              <w:rPr/>
            </w:pPr>
            <w:r>
              <w:rPr/>
              <w:t>6,680</w:t>
            </w:r>
          </w:p>
        </w:tc>
        <w:tc>
          <w:tcPr>
            <w:tcW w:w="65" w:type="dxa"/>
            <w:tcBorders/>
            <w:vAlign w:val="bottom"/>
          </w:tcPr>
          <w:p>
            <w:pPr>
              <w:pStyle w:val="TableContents"/>
              <w:bidi w:val="0"/>
              <w:spacing w:before="0" w:after="283"/>
              <w:jc w:val="left"/>
              <w:rPr/>
            </w:pPr>
            <w:r>
              <w:rPr/>
              <w:t> </w:t>
            </w:r>
          </w:p>
        </w:tc>
      </w:tr>
      <w:tr>
        <w:trPr/>
        <w:tc>
          <w:tcPr>
            <w:tcW w:w="2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related to the earnout shares allocated to eligible optionholders</w:t>
            </w:r>
          </w:p>
        </w:tc>
        <w:tc>
          <w:tcPr>
            <w:tcW w:w="563"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1,278</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1762" w:type="dxa"/>
            <w:tcBorders/>
            <w:shd w:fill="CCEEFF" w:val="clear"/>
            <w:vAlign w:val="bottom"/>
          </w:tcPr>
          <w:p>
            <w:pPr>
              <w:pStyle w:val="TableContents"/>
              <w:bidi w:val="0"/>
              <w:spacing w:before="0" w:after="283"/>
              <w:jc w:val="right"/>
              <w:rPr/>
            </w:pPr>
            <w:r>
              <w:rPr/>
              <w:t>5,112</w:t>
            </w:r>
          </w:p>
        </w:tc>
        <w:tc>
          <w:tcPr>
            <w:tcW w:w="65" w:type="dxa"/>
            <w:tcBorders/>
            <w:shd w:fill="CCEEFF" w:val="clear"/>
            <w:vAlign w:val="bottom"/>
          </w:tcPr>
          <w:p>
            <w:pPr>
              <w:pStyle w:val="TableContents"/>
              <w:bidi w:val="0"/>
              <w:spacing w:before="0" w:after="283"/>
              <w:jc w:val="left"/>
              <w:rPr/>
            </w:pPr>
            <w:r>
              <w:rPr/>
              <w:t> </w:t>
            </w:r>
          </w:p>
        </w:tc>
      </w:tr>
      <w:tr>
        <w:trPr/>
        <w:tc>
          <w:tcPr>
            <w:tcW w:w="275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63"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b/>
              </w:rPr>
            </w:pPr>
            <w:r>
              <w:rPr>
                <w:b/>
              </w:rPr>
              <w:t>$</w:t>
            </w:r>
          </w:p>
        </w:tc>
        <w:tc>
          <w:tcPr>
            <w:tcW w:w="1304" w:type="dxa"/>
            <w:tcBorders/>
            <w:vAlign w:val="bottom"/>
          </w:tcPr>
          <w:p>
            <w:pPr>
              <w:pStyle w:val="TableContents"/>
              <w:bidi w:val="0"/>
              <w:spacing w:before="0" w:after="283"/>
              <w:jc w:val="right"/>
              <w:rPr>
                <w:b/>
              </w:rPr>
            </w:pPr>
            <w:r>
              <w:rPr>
                <w:b/>
              </w:rPr>
              <w:t>1,278</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b/>
              </w:rPr>
            </w:pPr>
            <w:r>
              <w:rPr>
                <w:b/>
              </w:rPr>
              <w:t>$</w:t>
            </w:r>
          </w:p>
        </w:tc>
        <w:tc>
          <w:tcPr>
            <w:tcW w:w="1762" w:type="dxa"/>
            <w:tcBorders/>
            <w:vAlign w:val="bottom"/>
          </w:tcPr>
          <w:p>
            <w:pPr>
              <w:pStyle w:val="TableContents"/>
              <w:bidi w:val="0"/>
              <w:spacing w:before="0" w:after="283"/>
              <w:jc w:val="right"/>
              <w:rPr>
                <w:b/>
              </w:rPr>
            </w:pPr>
            <w:r>
              <w:rPr>
                <w:b/>
              </w:rPr>
              <w:t>12,592</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(BB)</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interest income related to the investment held in the Trust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(CC)</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remeasurement gains and losses on Teamshares warrant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(DD)</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gains and losses on Live Oak’s PIPE Subscription Agreements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(EE)</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initial fair value of the Forward Purchase Agreement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(FF)</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interest expense related to the HBC Credit Facility. The HBC Credit Facility was required to be repaid in full upon the Closing. Therefore, for purposes of the pro forma presentation, no interest expense related to the HBC Credit Facility is recorded during the three months ended March 31,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Loss per share </w:t>
      </w:r>
    </w:p>
    <w:p>
      <w:pPr>
        <w:pStyle w:val="TextBody"/>
        <w:bidi w:val="0"/>
        <w:spacing w:before="120" w:after="0"/>
        <w:jc w:val="left"/>
        <w:rPr>
          <w:rFonts w:ascii="Times New Roman" w:hAnsi="Times New Roman"/>
          <w:sz w:val="20"/>
        </w:rPr>
      </w:pPr>
      <w:r>
        <w:rPr>
          <w:rFonts w:ascii="Times New Roman" w:hAnsi="Times New Roman"/>
          <w:sz w:val="20"/>
        </w:rPr>
        <w:t xml:space="preserve">Represents the net loss per share calculated using the historical weighted average shares outstanding, and the issuance of additional shares in connection with the Business Combination, assuming the shares were outstanding since January 1, 2025. As the Business Combination is being reflected as if it had occurred at the beginning of the period presented, the calculation of weighted average shares outstanding for basic and diluted net loss per share assumes that the shares issuable relating to the Business Combination have been outstanding for the entire periods presented. When assuming the redemption scenario described above, this calculation is adjusted to eliminate such shares for the entire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information has been prepared for the three months ended March 31, 2026 and for the year ended December 31, 2025 ($ in thousands except per share data):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40"/>
        <w:gridCol w:w="464"/>
        <w:gridCol w:w="173"/>
        <w:gridCol w:w="1384"/>
        <w:gridCol w:w="155"/>
        <w:gridCol w:w="464"/>
        <w:gridCol w:w="159"/>
        <w:gridCol w:w="1257"/>
        <w:gridCol w:w="159"/>
      </w:tblGrid>
      <w:tr>
        <w:trPr/>
        <w:tc>
          <w:tcPr>
            <w:tcW w:w="3540"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5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Three</w:t>
              <w:br/>
              <w:t>Months Ended</w:t>
              <w:br/>
              <w:t>March 31,</w:t>
              <w:br/>
              <w:t>2026</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w:t>
              <w:br/>
              <w:t>December 31,</w:t>
              <w:br/>
              <w:t>2025</w:t>
            </w:r>
          </w:p>
        </w:tc>
        <w:tc>
          <w:tcPr>
            <w:tcW w:w="159" w:type="dxa"/>
            <w:tcBorders/>
            <w:vAlign w:val="bottom"/>
          </w:tcPr>
          <w:p>
            <w:pPr>
              <w:pStyle w:val="TableContents"/>
              <w:bidi w:val="0"/>
              <w:spacing w:before="0" w:after="283"/>
              <w:jc w:val="left"/>
              <w:rPr/>
            </w:pPr>
            <w:r>
              <w:rPr/>
              <w:t> </w:t>
            </w:r>
          </w:p>
        </w:tc>
      </w:tr>
      <w:tr>
        <w:trPr/>
        <w:tc>
          <w:tcPr>
            <w:tcW w:w="3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 Attributable to New Teamshares</w:t>
            </w:r>
          </w:p>
        </w:tc>
        <w:tc>
          <w:tcPr>
            <w:tcW w:w="46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384" w:type="dxa"/>
            <w:tcBorders/>
            <w:shd w:fill="CCEEFF" w:val="clear"/>
            <w:vAlign w:val="bottom"/>
          </w:tcPr>
          <w:p>
            <w:pPr>
              <w:pStyle w:val="TableContents"/>
              <w:bidi w:val="0"/>
              <w:spacing w:before="0" w:after="283"/>
              <w:jc w:val="right"/>
              <w:rPr/>
            </w:pPr>
            <w:r>
              <w:rPr/>
              <w:t>(18,558</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7" w:type="dxa"/>
            <w:tcBorders/>
            <w:shd w:fill="CCEEFF" w:val="clear"/>
            <w:vAlign w:val="bottom"/>
          </w:tcPr>
          <w:p>
            <w:pPr>
              <w:pStyle w:val="TableContents"/>
              <w:bidi w:val="0"/>
              <w:spacing w:before="0" w:after="283"/>
              <w:jc w:val="right"/>
              <w:rPr/>
            </w:pPr>
            <w:r>
              <w:rPr/>
              <w:t>(99,663</w:t>
            </w:r>
          </w:p>
        </w:tc>
        <w:tc>
          <w:tcPr>
            <w:tcW w:w="159" w:type="dxa"/>
            <w:tcBorders/>
            <w:shd w:fill="CCEEFF" w:val="clear"/>
            <w:vAlign w:val="bottom"/>
          </w:tcPr>
          <w:p>
            <w:pPr>
              <w:pStyle w:val="TableContents"/>
              <w:bidi w:val="0"/>
              <w:spacing w:before="0" w:after="283"/>
              <w:jc w:val="left"/>
              <w:rPr/>
            </w:pPr>
            <w:r>
              <w:rPr/>
              <w:t>) </w:t>
            </w:r>
          </w:p>
        </w:tc>
      </w:tr>
      <w:tr>
        <w:trPr/>
        <w:tc>
          <w:tcPr>
            <w:tcW w:w="3540" w:type="dxa"/>
            <w:tcBorders/>
          </w:tcPr>
          <w:p>
            <w:pPr>
              <w:pStyle w:val="TableContents"/>
              <w:bidi w:val="0"/>
              <w:spacing w:before="0" w:after="0"/>
              <w:jc w:val="left"/>
              <w:rPr>
                <w:rFonts w:ascii="Times New Roman" w:hAnsi="Times New Roman"/>
                <w:sz w:val="20"/>
              </w:rPr>
            </w:pPr>
            <w:r>
              <w:rPr>
                <w:rFonts w:ascii="Times New Roman" w:hAnsi="Times New Roman"/>
                <w:sz w:val="20"/>
              </w:rPr>
              <w:t>Rollover Shares Adjustment(1)</w:t>
            </w:r>
          </w:p>
        </w:tc>
        <w:tc>
          <w:tcPr>
            <w:tcW w:w="46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384" w:type="dxa"/>
            <w:tcBorders/>
            <w:vAlign w:val="bottom"/>
          </w:tcPr>
          <w:p>
            <w:pPr>
              <w:pStyle w:val="TableContents"/>
              <w:bidi w:val="0"/>
              <w:spacing w:before="0" w:after="283"/>
              <w:jc w:val="right"/>
              <w:rPr/>
            </w:pPr>
            <w:r>
              <w:rPr/>
              <w:t>64</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257" w:type="dxa"/>
            <w:tcBorders/>
            <w:vAlign w:val="bottom"/>
          </w:tcPr>
          <w:p>
            <w:pPr>
              <w:pStyle w:val="TableContents"/>
              <w:bidi w:val="0"/>
              <w:spacing w:before="0" w:after="283"/>
              <w:jc w:val="right"/>
              <w:rPr/>
            </w:pPr>
            <w:r>
              <w:rPr/>
              <w:t>248</w:t>
            </w:r>
          </w:p>
        </w:tc>
        <w:tc>
          <w:tcPr>
            <w:tcW w:w="159"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Pro Forma Net Loss Attributable to the Common Shareholders</w:t>
            </w:r>
          </w:p>
        </w:tc>
        <w:tc>
          <w:tcPr>
            <w:tcW w:w="46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b/>
              </w:rPr>
            </w:pPr>
            <w:r>
              <w:rPr>
                <w:b/>
              </w:rPr>
              <w:t>$</w:t>
            </w:r>
          </w:p>
        </w:tc>
        <w:tc>
          <w:tcPr>
            <w:tcW w:w="1384" w:type="dxa"/>
            <w:tcBorders/>
            <w:shd w:fill="CCEEFF" w:val="clear"/>
            <w:vAlign w:val="bottom"/>
          </w:tcPr>
          <w:p>
            <w:pPr>
              <w:pStyle w:val="TableContents"/>
              <w:bidi w:val="0"/>
              <w:spacing w:before="0" w:after="283"/>
              <w:jc w:val="right"/>
              <w:rPr>
                <w:b/>
              </w:rPr>
            </w:pPr>
            <w:r>
              <w:rPr>
                <w:b/>
              </w:rPr>
              <w:t>(18,494</w:t>
            </w:r>
          </w:p>
        </w:tc>
        <w:tc>
          <w:tcPr>
            <w:tcW w:w="155" w:type="dxa"/>
            <w:tcBorders/>
            <w:shd w:fill="CCEEFF" w:val="clear"/>
            <w:vAlign w:val="bottom"/>
          </w:tcPr>
          <w:p>
            <w:pPr>
              <w:pStyle w:val="TableContents"/>
              <w:bidi w:val="0"/>
              <w:spacing w:before="0" w:after="283"/>
              <w:jc w:val="left"/>
              <w:rPr>
                <w:b/>
              </w:rPr>
            </w:pPr>
            <w:r>
              <w:rPr>
                <w:b/>
              </w:rPr>
              <w:t>) </w:t>
            </w:r>
          </w:p>
        </w:tc>
        <w:tc>
          <w:tcPr>
            <w:tcW w:w="46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b/>
              </w:rPr>
            </w:pPr>
            <w:r>
              <w:rPr>
                <w:b/>
              </w:rPr>
              <w:t>$</w:t>
            </w:r>
          </w:p>
        </w:tc>
        <w:tc>
          <w:tcPr>
            <w:tcW w:w="1257" w:type="dxa"/>
            <w:tcBorders/>
            <w:shd w:fill="CCEEFF" w:val="clear"/>
            <w:vAlign w:val="bottom"/>
          </w:tcPr>
          <w:p>
            <w:pPr>
              <w:pStyle w:val="TableContents"/>
              <w:bidi w:val="0"/>
              <w:spacing w:before="0" w:after="283"/>
              <w:jc w:val="right"/>
              <w:rPr>
                <w:b/>
              </w:rPr>
            </w:pPr>
            <w:r>
              <w:rPr>
                <w:b/>
              </w:rPr>
              <w:t>(99,415</w:t>
            </w:r>
          </w:p>
        </w:tc>
        <w:tc>
          <w:tcPr>
            <w:tcW w:w="159" w:type="dxa"/>
            <w:tcBorders/>
            <w:shd w:fill="CCEEFF" w:val="clear"/>
            <w:vAlign w:val="bottom"/>
          </w:tcPr>
          <w:p>
            <w:pPr>
              <w:pStyle w:val="TableContents"/>
              <w:bidi w:val="0"/>
              <w:spacing w:before="0" w:after="283"/>
              <w:jc w:val="left"/>
              <w:rPr>
                <w:b/>
              </w:rPr>
            </w:pPr>
            <w:r>
              <w:rPr>
                <w:b/>
              </w:rPr>
              <w:t>) </w:t>
            </w:r>
          </w:p>
        </w:tc>
      </w:tr>
      <w:tr>
        <w:trPr/>
        <w:tc>
          <w:tcPr>
            <w:tcW w:w="3540"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w:t>
            </w:r>
          </w:p>
        </w:tc>
        <w:tc>
          <w:tcPr>
            <w:tcW w:w="46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71,985,774</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71,985,774</w:t>
            </w:r>
          </w:p>
        </w:tc>
        <w:tc>
          <w:tcPr>
            <w:tcW w:w="159" w:type="dxa"/>
            <w:tcBorders/>
            <w:vAlign w:val="bottom"/>
          </w:tcPr>
          <w:p>
            <w:pPr>
              <w:pStyle w:val="TableContents"/>
              <w:bidi w:val="0"/>
              <w:spacing w:before="0" w:after="283"/>
              <w:jc w:val="left"/>
              <w:rPr/>
            </w:pPr>
            <w:r>
              <w:rPr/>
              <w:t> </w:t>
            </w:r>
          </w:p>
        </w:tc>
      </w:tr>
      <w:tr>
        <w:trPr/>
        <w:tc>
          <w:tcPr>
            <w:tcW w:w="3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 Per Share—Basic and Diluted(2)(3)</w:t>
            </w:r>
          </w:p>
        </w:tc>
        <w:tc>
          <w:tcPr>
            <w:tcW w:w="46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384" w:type="dxa"/>
            <w:tcBorders/>
            <w:shd w:fill="CCEEFF" w:val="clear"/>
            <w:vAlign w:val="bottom"/>
          </w:tcPr>
          <w:p>
            <w:pPr>
              <w:pStyle w:val="TableContents"/>
              <w:bidi w:val="0"/>
              <w:spacing w:before="0" w:after="283"/>
              <w:jc w:val="right"/>
              <w:rPr/>
            </w:pPr>
            <w:r>
              <w:rPr/>
              <w:t>(0.26</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7" w:type="dxa"/>
            <w:tcBorders/>
            <w:shd w:fill="CCEEFF" w:val="clear"/>
            <w:vAlign w:val="bottom"/>
          </w:tcPr>
          <w:p>
            <w:pPr>
              <w:pStyle w:val="TableContents"/>
              <w:bidi w:val="0"/>
              <w:spacing w:before="0" w:after="283"/>
              <w:jc w:val="right"/>
              <w:rPr/>
            </w:pPr>
            <w:r>
              <w:rPr/>
              <w:t>(1.38</w:t>
            </w:r>
          </w:p>
        </w:tc>
        <w:tc>
          <w:tcPr>
            <w:tcW w:w="159"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Weighted Average Shares Outstanding</w:t>
            </w:r>
          </w:p>
        </w:tc>
        <w:tc>
          <w:tcPr>
            <w:tcW w:w="46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b/>
              </w:rPr>
            </w:pPr>
            <w:r>
              <w:rPr>
                <w:b/>
              </w:rPr>
              <w:t>71,985,774</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b/>
              </w:rPr>
            </w:pPr>
            <w:r>
              <w:rPr>
                <w:b/>
              </w:rPr>
              <w:t>71,985,774</w:t>
            </w:r>
          </w:p>
        </w:tc>
        <w:tc>
          <w:tcPr>
            <w:tcW w:w="159" w:type="dxa"/>
            <w:tcBorders/>
            <w:vAlign w:val="bottom"/>
          </w:tcPr>
          <w:p>
            <w:pPr>
              <w:pStyle w:val="TableContents"/>
              <w:bidi w:val="0"/>
              <w:spacing w:before="0" w:after="283"/>
              <w:jc w:val="left"/>
              <w:rPr/>
            </w:pPr>
            <w:r>
              <w:rPr/>
              <w:t> </w:t>
            </w:r>
          </w:p>
        </w:tc>
      </w:tr>
      <w:tr>
        <w:trPr/>
        <w:tc>
          <w:tcPr>
            <w:tcW w:w="3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Live Oak public shareholders</w:t>
            </w:r>
          </w:p>
        </w:tc>
        <w:tc>
          <w:tcPr>
            <w:tcW w:w="46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561,341</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561,341</w:t>
            </w:r>
          </w:p>
        </w:tc>
        <w:tc>
          <w:tcPr>
            <w:tcW w:w="159" w:type="dxa"/>
            <w:tcBorders/>
            <w:shd w:fill="CCEEFF" w:val="clear"/>
            <w:vAlign w:val="bottom"/>
          </w:tcPr>
          <w:p>
            <w:pPr>
              <w:pStyle w:val="TableContents"/>
              <w:bidi w:val="0"/>
              <w:spacing w:before="0" w:after="283"/>
              <w:jc w:val="left"/>
              <w:rPr/>
            </w:pPr>
            <w:r>
              <w:rPr/>
              <w:t> </w:t>
            </w:r>
          </w:p>
        </w:tc>
      </w:tr>
      <w:tr>
        <w:trPr/>
        <w:tc>
          <w:tcPr>
            <w:tcW w:w="3540" w:type="dxa"/>
            <w:tcBorders/>
          </w:tcPr>
          <w:p>
            <w:pPr>
              <w:pStyle w:val="TableContents"/>
              <w:bidi w:val="0"/>
              <w:spacing w:before="0" w:after="0"/>
              <w:jc w:val="left"/>
              <w:rPr>
                <w:rFonts w:ascii="Times New Roman" w:hAnsi="Times New Roman"/>
                <w:sz w:val="20"/>
              </w:rPr>
            </w:pPr>
            <w:r>
              <w:rPr>
                <w:rFonts w:ascii="Times New Roman" w:hAnsi="Times New Roman"/>
                <w:sz w:val="20"/>
              </w:rPr>
              <w:t>PIPE Investors</w:t>
            </w:r>
          </w:p>
        </w:tc>
        <w:tc>
          <w:tcPr>
            <w:tcW w:w="46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13,750,000</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13,750,000</w:t>
            </w:r>
          </w:p>
        </w:tc>
        <w:tc>
          <w:tcPr>
            <w:tcW w:w="159" w:type="dxa"/>
            <w:tcBorders/>
            <w:vAlign w:val="bottom"/>
          </w:tcPr>
          <w:p>
            <w:pPr>
              <w:pStyle w:val="TableContents"/>
              <w:bidi w:val="0"/>
              <w:spacing w:before="0" w:after="283"/>
              <w:jc w:val="left"/>
              <w:rPr/>
            </w:pPr>
            <w:r>
              <w:rPr/>
              <w:t> </w:t>
            </w:r>
          </w:p>
        </w:tc>
      </w:tr>
      <w:tr>
        <w:trPr/>
        <w:tc>
          <w:tcPr>
            <w:tcW w:w="3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Sponsor</w:t>
            </w:r>
          </w:p>
        </w:tc>
        <w:tc>
          <w:tcPr>
            <w:tcW w:w="46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3,450,000</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3,450,000</w:t>
            </w:r>
          </w:p>
        </w:tc>
        <w:tc>
          <w:tcPr>
            <w:tcW w:w="159" w:type="dxa"/>
            <w:tcBorders/>
            <w:shd w:fill="CCEEFF" w:val="clear"/>
            <w:vAlign w:val="bottom"/>
          </w:tcPr>
          <w:p>
            <w:pPr>
              <w:pStyle w:val="TableContents"/>
              <w:bidi w:val="0"/>
              <w:spacing w:before="0" w:after="283"/>
              <w:jc w:val="left"/>
              <w:rPr/>
            </w:pPr>
            <w:r>
              <w:rPr/>
              <w:t> </w:t>
            </w:r>
          </w:p>
        </w:tc>
      </w:tr>
      <w:tr>
        <w:trPr/>
        <w:tc>
          <w:tcPr>
            <w:tcW w:w="3540" w:type="dxa"/>
            <w:tcBorders/>
          </w:tcPr>
          <w:p>
            <w:pPr>
              <w:pStyle w:val="TableContents"/>
              <w:bidi w:val="0"/>
              <w:spacing w:before="0" w:after="0"/>
              <w:jc w:val="left"/>
              <w:rPr>
                <w:rFonts w:ascii="Times New Roman" w:hAnsi="Times New Roman"/>
                <w:sz w:val="20"/>
              </w:rPr>
            </w:pPr>
            <w:r>
              <w:rPr>
                <w:rFonts w:ascii="Times New Roman" w:hAnsi="Times New Roman"/>
                <w:sz w:val="20"/>
              </w:rPr>
              <w:t>Teamshares Stockholders</w:t>
            </w:r>
          </w:p>
        </w:tc>
        <w:tc>
          <w:tcPr>
            <w:tcW w:w="46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49,435,918</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49,435,918</w:t>
            </w:r>
          </w:p>
        </w:tc>
        <w:tc>
          <w:tcPr>
            <w:tcW w:w="159" w:type="dxa"/>
            <w:tcBorders/>
            <w:vAlign w:val="bottom"/>
          </w:tcPr>
          <w:p>
            <w:pPr>
              <w:pStyle w:val="TableContents"/>
              <w:bidi w:val="0"/>
              <w:spacing w:before="0" w:after="283"/>
              <w:jc w:val="left"/>
              <w:rPr/>
            </w:pPr>
            <w:r>
              <w:rPr/>
              <w:t> </w:t>
            </w:r>
          </w:p>
        </w:tc>
      </w:tr>
      <w:tr>
        <w:trPr/>
        <w:tc>
          <w:tcPr>
            <w:tcW w:w="3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SAFE Investors</w:t>
            </w:r>
          </w:p>
        </w:tc>
        <w:tc>
          <w:tcPr>
            <w:tcW w:w="46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751,343</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751,343</w:t>
            </w:r>
          </w:p>
        </w:tc>
        <w:tc>
          <w:tcPr>
            <w:tcW w:w="159" w:type="dxa"/>
            <w:tcBorders/>
            <w:shd w:fill="CCEEFF" w:val="clear"/>
            <w:vAlign w:val="bottom"/>
          </w:tcPr>
          <w:p>
            <w:pPr>
              <w:pStyle w:val="TableContents"/>
              <w:bidi w:val="0"/>
              <w:spacing w:before="0" w:after="283"/>
              <w:jc w:val="left"/>
              <w:rPr/>
            </w:pPr>
            <w:r>
              <w:rPr/>
              <w:t> </w:t>
            </w:r>
          </w:p>
        </w:tc>
      </w:tr>
      <w:tr>
        <w:trPr/>
        <w:tc>
          <w:tcPr>
            <w:tcW w:w="3540" w:type="dxa"/>
            <w:tcBorders/>
          </w:tcPr>
          <w:p>
            <w:pPr>
              <w:pStyle w:val="TableContents"/>
              <w:bidi w:val="0"/>
              <w:spacing w:before="0" w:after="0"/>
              <w:jc w:val="left"/>
              <w:rPr>
                <w:rFonts w:ascii="Times New Roman" w:hAnsi="Times New Roman"/>
                <w:sz w:val="20"/>
              </w:rPr>
            </w:pPr>
            <w:r>
              <w:rPr>
                <w:rFonts w:ascii="Times New Roman" w:hAnsi="Times New Roman"/>
                <w:sz w:val="20"/>
              </w:rPr>
              <w:t>FPA Investor</w:t>
            </w:r>
          </w:p>
        </w:tc>
        <w:tc>
          <w:tcPr>
            <w:tcW w:w="46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4,000,000</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4,000,000</w:t>
            </w:r>
          </w:p>
        </w:tc>
        <w:tc>
          <w:tcPr>
            <w:tcW w:w="159" w:type="dxa"/>
            <w:tcBorders/>
            <w:vAlign w:val="bottom"/>
          </w:tcPr>
          <w:p>
            <w:pPr>
              <w:pStyle w:val="TableContents"/>
              <w:bidi w:val="0"/>
              <w:spacing w:before="0" w:after="283"/>
              <w:jc w:val="left"/>
              <w:rPr/>
            </w:pPr>
            <w:r>
              <w:rPr/>
              <w:t> </w:t>
            </w:r>
          </w:p>
        </w:tc>
      </w:tr>
      <w:tr>
        <w:trPr/>
        <w:tc>
          <w:tcPr>
            <w:tcW w:w="3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6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37,171</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37,171</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During the three months ended March 31, 2026 and the year ended December 31, 2025, Teamshares repurchased certain Rollover Shares. The difference between the carrying value and the repurchase value on the repurchase date has been included as an adjustment to Net Loss Attributable to Common Stockholders. See Note 4, “</w:t>
            </w:r>
            <w:r>
              <w:rPr>
                <w:rFonts w:ascii="Times New Roman" w:hAnsi="Times New Roman"/>
                <w:i/>
                <w:sz w:val="20"/>
              </w:rPr>
              <w:t>Business Combinations</w:t>
            </w:r>
            <w:r>
              <w:rPr>
                <w:rFonts w:ascii="Times New Roman" w:hAnsi="Times New Roman"/>
                <w:sz w:val="20"/>
              </w:rPr>
              <w:t xml:space="preserve">” to the Teamshares Inc. audited annual consolidated financial statements included elsewhere in this Prospectus for further discussion of Rollover Shares.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 share pro forma net loss per share excludes the impact of outstanding and unexercised warrants and options, as the inclusion of these instruments was anti-dilutive.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 share pro forma net loss per share excludes the impact of the Earnout Shares and the Deferred Founder Shares, as the vesting conditions for these shares have not been met. Additionally, the inclusion of these shares would have been anti-dilutive if the vesting conditions had been met.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58823_11"/>
      <w:bookmarkEnd w:id="13"/>
      <w:r>
        <w:rPr>
          <w:rFonts w:ascii="Times New Roman" w:hAnsi="Times New Roman"/>
          <w:b/>
          <w:sz w:val="20"/>
        </w:rPr>
        <w:t xml:space="preserve">MANAGEMENT’S DISCUSSION AND ANALYSIS OF FINANCIAL CONDITION AND </w:t>
      </w:r>
    </w:p>
    <w:p>
      <w:pPr>
        <w:pStyle w:val="TextBody"/>
        <w:bidi w:val="0"/>
        <w:spacing w:before="0" w:after="0"/>
        <w:jc w:val="center"/>
        <w:rPr>
          <w:rFonts w:ascii="Times New Roman" w:hAnsi="Times New Roman"/>
          <w:b/>
          <w:sz w:val="20"/>
        </w:rPr>
      </w:pPr>
      <w:r>
        <w:rPr>
          <w:rFonts w:ascii="Times New Roman" w:hAnsi="Times New Roman"/>
          <w:b/>
          <w:sz w:val="20"/>
        </w:rPr>
        <w:t xml:space="preserve">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otherwise requires, all references in this section to “we”, “us”, “our”, “Teamshares”, or the “Company” refer to Teamshares, Inc. and its subsidiaries prior to the consummation of the Business Combination and after the consummation of the Business Combination, Teamshares Inc. and its subsidiaries.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and analysis of the financial condition and results of operations of Teamshares includes information that Teamshares’ management believes is relevant to an assessment and understanding of Teamshares’ consolidated results of operations and financial condition. You should read the following discussion and analysis of our financial condition and results of operations together with our audited consolidated financial statements for the years ended December 31, 2025 and 2024 together with the respective notes thereto included elsewhere in this prospectus. This discussion and analysis should also be read together with the unaudited pro forma financial information as of and for the year ended December 31, 2025 included elsewhere in this prospectus. This discussion contains forward-looking statements based upon current plans, expectations, and beliefs, involving risks and uncertainties. Our actual results may differ materially from those anticipated in these forward-looking statements. You should review the sections elsewhere in this prospectus titled “Cautionary Statement Regarding Forward-Looking Statements” for a discussion of forward-looking statements, and “Risk Factors” 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Teamshares is a technology-enabled acquirer and operator of SMEs. Our acquisition criteria is primarily focused on companies for sale by retiring owners with approximately $0.5 million to $5.0 million of EBITDA. We leverage proprietary software to source and evaluate thousands of SME acquisition opportunities annually. The purchase multiples for our acquisitions typically range from 4x to 6x EBITDA and acquisitions are partially funded with debt financing. The Company’s acquisition strategy intentionally targets a diversified mix of businesses across industries and geographies, which is intended to create resilient financial performance across different economic conditions. Additionally, diversification reduces our exposure to inflation of purchase multiples in particular industries or geographies, which improves our ability to maintain disciplined acquisition economics. </w:t>
      </w:r>
    </w:p>
    <w:p>
      <w:pPr>
        <w:pStyle w:val="TextBody"/>
        <w:bidi w:val="0"/>
        <w:spacing w:before="240" w:after="0"/>
        <w:jc w:val="left"/>
        <w:rPr>
          <w:rFonts w:ascii="Times New Roman" w:hAnsi="Times New Roman"/>
          <w:sz w:val="20"/>
        </w:rPr>
      </w:pPr>
      <w:r>
        <w:rPr>
          <w:rFonts w:ascii="Times New Roman" w:hAnsi="Times New Roman"/>
          <w:sz w:val="20"/>
        </w:rPr>
        <w:t xml:space="preserve">The acquired companies are integrated onto the Teamshares platform, which includes, but is not limited to, proprietary software, financial products, support services, treasury management, strategic oversight, leadership placement and administration of an employee ownership program. The employee ownership program is designed to align long-term incentives between Teamshares and the employee owners at its operating subsidiaries. We derive revenue and generate cash flow from the financial performance of our subsidiaries, not from exit events. Therefore, our permanent ownership model is not dependent on multiple expansion, fund cycles or exit timing, and is designed to compound value through reinvestment of free cash flow. Excess free cash flow is systematically upstreamed to the platform and redeployed for new acquisitions and organic growth opportunities across our operating subsidiaries, which is expected to create a self-funding flywheel that compounds over time while continuing to diversify industry and geographic exposure. While our operating subsidiaries have historically generated positive operating cash flow, our consolidated free cash flow has been negative due to our investment in corporate platform capabilities, technology, and growth initiatives. As the scale of our operating subsidiaries increases relative to these platform-level expenses, we expect the cash flow generated by our operating subsidiaries to increasingly fund acquisitions and other growth initiatives over time. </w:t>
      </w:r>
    </w:p>
    <w:p>
      <w:pPr>
        <w:pStyle w:val="TextBody"/>
        <w:bidi w:val="0"/>
        <w:spacing w:before="240" w:after="0"/>
        <w:jc w:val="left"/>
        <w:rPr>
          <w:rFonts w:ascii="Times New Roman" w:hAnsi="Times New Roman"/>
          <w:sz w:val="20"/>
        </w:rPr>
      </w:pPr>
      <w:r>
        <w:rPr>
          <w:rFonts w:ascii="Times New Roman" w:hAnsi="Times New Roman"/>
          <w:sz w:val="20"/>
        </w:rPr>
        <w:t xml:space="preserve">We expect to continue to create operating leverage from our tech-enabled infrastructure. This dynamic is expected to result in the ability to increase earnings from operating subsidiaries at a rate in excess of corporate overhead. However, there can be no assurance that operating leverage will be achieved at the levels currently expected. As we accumulate and analyze data from acquisitions and ongoing operations, we believe we will continue to refine our acquisition criteria, underwriting process, and ability to improve financial performance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existing operating subsidiaries. We believe our ability to deploy capital towards highly accretive acquisition opportunities, successfully transition and operate acquired companies, and scale overhead through our tech-enabled infrastructure will allow us to create significant value for our stakeholders. </w:t>
      </w:r>
    </w:p>
    <w:p>
      <w:pPr>
        <w:pStyle w:val="TextBody"/>
        <w:bidi w:val="0"/>
        <w:spacing w:before="360" w:after="0"/>
        <w:jc w:val="left"/>
        <w:rPr>
          <w:rFonts w:ascii="Times New Roman" w:hAnsi="Times New Roman"/>
          <w:b/>
          <w:sz w:val="20"/>
        </w:rPr>
      </w:pPr>
      <w:r>
        <w:rPr>
          <w:rFonts w:ascii="Times New Roman" w:hAnsi="Times New Roman"/>
          <w:b/>
          <w:sz w:val="20"/>
        </w:rPr>
        <w:t xml:space="preserve">Key Factors Affecting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We believe that our future success and financial performance depend on a number of factors that present significant opportunities for our business, but also pose risks and challenges, including those discussed below and in the section of this prospectus entitled “</w:t>
      </w:r>
      <w:r>
        <w:rPr>
          <w:rFonts w:ascii="Times New Roman" w:hAnsi="Times New Roman"/>
          <w:i/>
          <w:sz w:val="20"/>
        </w:rPr>
        <w:t>Risk Factors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growth and future success of our business depend on many factors. While each of these factors presents significant opportunities for our business, they also pose important challenges that we must successfully address in order to sustain our growth, improve our results of operations and achieve and maintain our long-term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successfully complete acquisitions and impact on comparability </w:t>
      </w:r>
    </w:p>
    <w:p>
      <w:pPr>
        <w:pStyle w:val="TextBody"/>
        <w:bidi w:val="0"/>
        <w:spacing w:before="120" w:after="0"/>
        <w:jc w:val="left"/>
        <w:rPr>
          <w:rFonts w:ascii="Times New Roman" w:hAnsi="Times New Roman"/>
          <w:sz w:val="20"/>
        </w:rPr>
      </w:pPr>
      <w:r>
        <w:rPr>
          <w:rFonts w:ascii="Times New Roman" w:hAnsi="Times New Roman"/>
          <w:sz w:val="20"/>
        </w:rPr>
        <w:t xml:space="preserve">Acquisitions are a core driver of our business model and growth. Our ability to continue sourcing, closing and integrating acquisitions at scale meaningfully affects our results of operations. The pace at which we are able to complete acquisitions is impacted by our ability to both source and fund acquisitions. We source the majority of our transactions through a proprietary, technology-enabled platform that automates lead generation, initial screening, underwriting workflows, and closing documentation. Our tech-enabled platform identifies targets that align with our underwriting criteria, including owner retirement, significant operating history, low owner dependency, established support staff, low transition risk to revenue, low capital intensity, limited technology disruption risk and financial results that can withstand rigorous diligence. We believe our reputation, permanent ownership approach and employee-ownership model differentiate us with retiring SME owners relative to alternative financial buyers, which supports pipeline quality and close rates. </w:t>
      </w:r>
    </w:p>
    <w:p>
      <w:pPr>
        <w:pStyle w:val="TextBody"/>
        <w:bidi w:val="0"/>
        <w:spacing w:before="240" w:after="0"/>
        <w:jc w:val="left"/>
        <w:rPr>
          <w:rFonts w:ascii="Times New Roman" w:hAnsi="Times New Roman"/>
          <w:sz w:val="20"/>
        </w:rPr>
      </w:pPr>
      <w:r>
        <w:rPr>
          <w:rFonts w:ascii="Times New Roman" w:hAnsi="Times New Roman"/>
          <w:sz w:val="20"/>
        </w:rPr>
        <w:t xml:space="preserve">Our capacity to complete acquisitions also depends on our access to capital and our cost of funds. We typically finance a significant portion of acquisitions with debt, which has increased our outstanding indebtedness over time and contributed to a historically higher cost of capital under existing credit facilities and other debt instruments. </w:t>
      </w:r>
    </w:p>
    <w:p>
      <w:pPr>
        <w:pStyle w:val="TextBody"/>
        <w:bidi w:val="0"/>
        <w:spacing w:before="240" w:after="0"/>
        <w:jc w:val="left"/>
        <w:rPr>
          <w:rFonts w:ascii="Times New Roman" w:hAnsi="Times New Roman"/>
          <w:sz w:val="20"/>
        </w:rPr>
      </w:pPr>
      <w:r>
        <w:rPr>
          <w:rFonts w:ascii="Times New Roman" w:hAnsi="Times New Roman"/>
          <w:sz w:val="20"/>
        </w:rPr>
        <w:t>Beginning in 2023, we augmented our funding mix with seller notes, which generally differ from market yields. Reducing our cost of capital going forward depends on our ability to refinance existing borrowings on more attractive terms, access more competitive debt markets, and continue to utilize seller notes. Macroeconomic conditions, including interest rates, credit availability and valuation environments, as well as any restrictive covenants in future debt instruments, may affect our acquisition pace and mix. Given our existing capital resources, our ability to successfully complete transactions may be limited due to availability of capital prior to the closing of the Business Combination and Initial PIPE Investment. Following the closing of the Business Combination and Initial PIPE Investment, we expect the rate of closing acquisitions to increase as a result of additional capital resources available to fund the transactions. We may also opportunistically raise equity to support acquisitions, working capital or platform investments, which could dilute existing stockholders. For additional information on our capital structure and related costs, see “—</w:t>
      </w:r>
      <w:r>
        <w:rPr>
          <w:rFonts w:ascii="Times New Roman" w:hAnsi="Times New Roman"/>
          <w:i/>
          <w:sz w:val="20"/>
        </w:rPr>
        <w:t>Liquidity, Capital Resources and Going Concern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GAAP, the results of acquired companies are included in our consolidated financial statements from the acquisition date. As a result, the timing of acquisition closings can affect period-to-period comparability. </w:t>
      </w:r>
    </w:p>
    <w:p>
      <w:pPr>
        <w:pStyle w:val="TextBody"/>
        <w:bidi w:val="0"/>
        <w:spacing w:before="240" w:after="0"/>
        <w:jc w:val="left"/>
        <w:rPr>
          <w:rFonts w:ascii="Times New Roman" w:hAnsi="Times New Roman"/>
          <w:sz w:val="20"/>
        </w:rPr>
      </w:pPr>
      <w:r>
        <w:rPr>
          <w:rFonts w:ascii="Times New Roman" w:hAnsi="Times New Roman"/>
          <w:sz w:val="20"/>
        </w:rPr>
        <w:t xml:space="preserve">Companies acquired late in a reporting period may contribute results for only a portion of that period and may be absent from the comparable prior-year period, which can limit comparability of revenue, gross profit, operating income and other metrics between periods. In addition, our strategy emphasizes building a diversified portfolio across industries, end markets and geographies. Newly acquired businesses may have revenue models, cost structures, working capital dynamics and seasonality profiles that differ from our existing operations. Shifts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relative contribution of recently acquired companies, particularly those with financial characteristics that differ meaningfully from our existing base, may drive period-to-period fluctuations that reflect portfolio mix rather than organic changes in underlying performance. </w:t>
      </w:r>
    </w:p>
    <w:p>
      <w:pPr>
        <w:pStyle w:val="TextBody"/>
        <w:bidi w:val="0"/>
        <w:spacing w:before="240" w:after="0"/>
        <w:jc w:val="left"/>
        <w:rPr>
          <w:rFonts w:ascii="Times New Roman" w:hAnsi="Times New Roman"/>
          <w:sz w:val="20"/>
        </w:rPr>
      </w:pPr>
      <w:r>
        <w:rPr>
          <w:rFonts w:ascii="Times New Roman" w:hAnsi="Times New Roman"/>
          <w:sz w:val="20"/>
        </w:rPr>
        <w:t xml:space="preserve">Period-to-period comparability may also be impacted by operating subsidiaries that cease operations during the year. Divestiture of operating subsidiaries is not part of the Company’s normal course of operations; however, such actions may occur when management determines it is appropriate based on its assessment of a subsidiary’s business performance and outlook. These subsidiaries generally relate to businesses that no longer meet the Company’s underwriting criteria. As a result, their operating results may be included in one reporting period but not another, which can affect comparability and may not be indicative of future operating performance. Teamshares’ proprietary, technology-enabled platform strives to identify permanent ownership solutions and decrease the number of operating subsidiaries that cease operations after being newly acquired, although there is no way to guarantee future performance of the operating subsidiaries will mirror past performance. Operating subsidiaries may cease operations based on a variety of factors, including macroeconomic demand, strategic initiatives and Teamshares’ assessment of their business performance and outlook.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retain key personnel and recruit new leaders into our platform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drive both organic and acquisition-led growth depends on attracting, developing and retaining high-caliber leaders and employee owners across our operating subsidiaries and ensuring a smooth transition of responsibilities from retiring owners. Continued performance is dependent on the successful placement of new presidents, whose cost is underwritten within our acquisition economics. </w:t>
      </w:r>
    </w:p>
    <w:p>
      <w:pPr>
        <w:pStyle w:val="TextBody"/>
        <w:bidi w:val="0"/>
        <w:spacing w:before="240" w:after="0"/>
        <w:jc w:val="left"/>
        <w:rPr>
          <w:rFonts w:ascii="Times New Roman" w:hAnsi="Times New Roman"/>
          <w:sz w:val="20"/>
        </w:rPr>
      </w:pPr>
      <w:r>
        <w:rPr>
          <w:rFonts w:ascii="Times New Roman" w:hAnsi="Times New Roman"/>
          <w:sz w:val="20"/>
        </w:rPr>
        <w:t xml:space="preserve">Talent continuity at the operating level is critical to maintaining customer relationships, process know-how, and day-to-day execution. To mitigate retention risk, we invest in structured onboarding and training and we use proprietary candidate matching tools to support leadership identification and matching. Our platform enables us to screen potential acquisitions against defined criteria, including low owner dependency and established support staff, while concurrently sourcing and assessing candidates whose operating profile aligns with each acquired business. Additionally, we apply lessons learned from our prior integrations to strengthen our selection process for presidents for acquired businesses, placement and oversight framework. These processes, together with compensation packages that include employee-ownership participation and performance-linked incentives, are designed to support development, reduce turnover and enhance employee engagement during and after transition. </w:t>
      </w:r>
    </w:p>
    <w:p>
      <w:pPr>
        <w:pStyle w:val="TextBody"/>
        <w:bidi w:val="0"/>
        <w:spacing w:before="240" w:after="0"/>
        <w:jc w:val="left"/>
        <w:rPr>
          <w:rFonts w:ascii="Times New Roman" w:hAnsi="Times New Roman"/>
          <w:sz w:val="20"/>
        </w:rPr>
      </w:pPr>
      <w:r>
        <w:rPr>
          <w:rFonts w:ascii="Times New Roman" w:hAnsi="Times New Roman"/>
          <w:sz w:val="20"/>
        </w:rPr>
        <w:t xml:space="preserve">Despite these measures, newly acquired companies may experience near-term variability in results during transition periods, including periods of former-owner transition or elevated hiring activity. Local labor availability, wage inflation, and the at-will nature of employment may increase turnover risk or hiring costs in certain geographies or sectors, and diligence limitations inherent to SMEs may increase variability in financial results during this transition period. Such transition-related costs and fluctuations may not be indicative of the acquired companies’ or our consolidated future performance and can affect period-to-period comparability. In addition, we face competition for qualified personnel, and our future success depends on our ability to recruit, train, retain, motivate and integrate presidents and other key employees in a competitive labor market. Adverse developments in any of these areas could lengthen leadership search or onboarding timelines, disrupt operations, and impact subsidiary performance and cash conversion rates during integration.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scale our platform efficiently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largely on our ability to expand our platform without proportionately increasing our corporate cost structure as we grow both organically and through acquisitions. Each new operating subsidiary adds earnings and data that feed our underwriting, pricing and integration playbooks, which helps inform future acquisition decisions and improves operational effectiveness across the network. As we standardize operations across a larger base of operating subsidiaries, we can leverage shared services, centralized procurement, treasury and cash management, common financial controls and reporting, and software-enabled workflows to capture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economies of scale and lower unit costs. However, these expected synergies are not factored into our underwriting assumptions nor are they required to achieve an attractive return profile. </w:t>
      </w:r>
    </w:p>
    <w:p>
      <w:pPr>
        <w:pStyle w:val="TextBody"/>
        <w:bidi w:val="0"/>
        <w:spacing w:before="240" w:after="0"/>
        <w:jc w:val="left"/>
        <w:rPr>
          <w:rFonts w:ascii="Times New Roman" w:hAnsi="Times New Roman"/>
          <w:sz w:val="20"/>
        </w:rPr>
      </w:pPr>
      <w:r>
        <w:rPr>
          <w:rFonts w:ascii="Times New Roman" w:hAnsi="Times New Roman"/>
          <w:sz w:val="20"/>
        </w:rPr>
        <w:t xml:space="preserve">We rely on proprietary software and technology to support scalable growth. Our systems help standardize core processes, accelerate onboarding, and provide management with real time insights across our portfolio that improves resource allocation and performance management. As the platform grows, careful prioritization of platform investments, disciplined cost control and continuous improvement of our operating system are critical to maintaining operating leverage in selling, general and administrative expenses while sustaining service levels across the network. </w:t>
      </w:r>
    </w:p>
    <w:p>
      <w:pPr>
        <w:pStyle w:val="TextBody"/>
        <w:bidi w:val="0"/>
        <w:spacing w:before="240" w:after="0"/>
        <w:jc w:val="left"/>
        <w:rPr>
          <w:rFonts w:ascii="Times New Roman" w:hAnsi="Times New Roman"/>
          <w:sz w:val="20"/>
        </w:rPr>
      </w:pPr>
      <w:r>
        <w:rPr>
          <w:rFonts w:ascii="Times New Roman" w:hAnsi="Times New Roman"/>
          <w:sz w:val="20"/>
        </w:rPr>
        <w:t>We expect that continued investment in our technology platform, shared services and operating playbooks will increase automation, reduce unit costs and improve selling, general and administrative (“</w:t>
      </w:r>
      <w:r>
        <w:rPr>
          <w:rFonts w:ascii="Times New Roman" w:hAnsi="Times New Roman"/>
          <w:b/>
          <w:sz w:val="20"/>
        </w:rPr>
        <w:t>SG&amp;A</w:t>
      </w:r>
      <w:r>
        <w:rPr>
          <w:rFonts w:ascii="Times New Roman" w:hAnsi="Times New Roman"/>
          <w:sz w:val="20"/>
        </w:rPr>
        <w:t xml:space="preserve">”) leverage as revenue scales.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balance third-party debt and seller notes to optimize cost of capital </w:t>
      </w:r>
    </w:p>
    <w:p>
      <w:pPr>
        <w:pStyle w:val="TextBody"/>
        <w:bidi w:val="0"/>
        <w:spacing w:before="120" w:after="0"/>
        <w:jc w:val="left"/>
        <w:rPr>
          <w:rFonts w:ascii="Times New Roman" w:hAnsi="Times New Roman"/>
          <w:sz w:val="20"/>
        </w:rPr>
      </w:pPr>
      <w:r>
        <w:rPr>
          <w:rFonts w:ascii="Times New Roman" w:hAnsi="Times New Roman"/>
          <w:sz w:val="20"/>
        </w:rPr>
        <w:t xml:space="preserve">Our acquisition cadence and cash flow compounding depend on access to debt at sustainable terms and our ability to lower our overall cost of funds over time. A meaningful portion of our historical indebtedness carries elevated fixed rates plus SOFR, including legacy facilities that were designed to fund programmatic acquisitions at earlier stages of scale. We are pursuing opportunities to refinance these borrowings on improved terms and Teamshares management believes that progress on potential refinancing plans, together with the deployment of anticipated proceeds from the Business Combination into accretive acquisitions, will strengthen our credit profile, reduce cash interest, and increase capacity to reinvest operating cash flows. Although Teamshares expects its credit profile to be improved upon consummation of the Business Combination, there can be no assurances that additional debt financing can be secured on terms more favorable than the terms of our current group credit facilities. Further, Teamshares was, at the Closing, required to repay outstanding amounts under its HBC Facility. Unless previously refinanced or amended, its obligations under the i80 Credit Facility will also come due in early December 2026, which repayment obligations are substantial and which, if not refinanced, repaid or otherwise amended to extend maturity dates thereunder, could impair Teamshares’ ability to pursue programmatic acquisition plans on the timelines and terms currently anticipated by Teamshares management. We also continue to expand the use of seller notes with fixed rates generally in the mid-single to high-single digits and maturities that align with subsidiary cash generation, which can lower the blended cost of capital and reduce near-term cash interest outlays.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refinancing legacy facilities at lower rates (assuming the availability of financing on such terms), maintaining disciplined leverage at subsidiaries, and continuing to diversify funding across instruments will be meaningful drivers of future results by lowering interest burden, enhancing liquidity, and supporting a consistent, repeatable acquisition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Seasonality and Impact on Comparability </w:t>
      </w:r>
    </w:p>
    <w:p>
      <w:pPr>
        <w:pStyle w:val="TextBody"/>
        <w:bidi w:val="0"/>
        <w:spacing w:before="120" w:after="0"/>
        <w:jc w:val="left"/>
        <w:rPr>
          <w:rFonts w:ascii="Times New Roman" w:hAnsi="Times New Roman"/>
          <w:sz w:val="20"/>
        </w:rPr>
      </w:pPr>
      <w:r>
        <w:rPr>
          <w:rFonts w:ascii="Times New Roman" w:hAnsi="Times New Roman"/>
          <w:sz w:val="20"/>
        </w:rPr>
        <w:t xml:space="preserve">Our consolidated results are subject to seasonal patterns and other periodic variability arising from the diversified nature of our subsidiaries across industries and geographies. Drivers of seasonality vary by business and may include weather and climate conditions, customer spending patterns, project and maintenance schedules, academic calendars, government fiscal cycles, and holiday timing. These dynamics can lead to sequential and year-over-year fluctuations in revenue, margins and cash flows that are not necessarily indicative of long-term trends. Historically, Small Business Acquisitions Segment EBITDA is generally lowest in our first fiscal quarter and represents 10%-15% of full fiscal year total driven by seasonal dynamics that result in lighter consumer spending and operational constraints due to winter weather. In addition, certain subsidiaries maintain inventories or advance purchase commitments to support peak seasonal demand; building inventory ahead of such periods or drawing down inventory thereafter can impact interim gross margins and operating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Period-to-period comparability is further affected by the cadence of our acquisitions. We acquire companies throughout the year, and, as a result, the contribution of a newly acquired subsidiary may reflect only a portion of its typical seasonal cycle, depending on the acquisition date. In addition, the mix of acquisitions closed in a period, by end market, geography and customer type, can shift our overall seasonal profile. Because our model contemplates rapid and programmatic acquisitions, periods that include peak or off-peak months for recently acquired businesses may not be comparable to prior periods that included only a partial seasonal contribution or a different mix of seasonal activity. </w:t>
      </w:r>
    </w:p>
    <w:p>
      <w:pPr>
        <w:pStyle w:val="TextBody"/>
        <w:bidi w:val="0"/>
        <w:spacing w:before="240" w:after="0"/>
        <w:jc w:val="left"/>
        <w:rPr>
          <w:rFonts w:ascii="Times New Roman" w:hAnsi="Times New Roman"/>
          <w:sz w:val="20"/>
        </w:rPr>
      </w:pPr>
      <w:r>
        <w:rPr>
          <w:rFonts w:ascii="Times New Roman" w:hAnsi="Times New Roman"/>
          <w:sz w:val="20"/>
        </w:rPr>
        <w:t xml:space="preserve">Taken together, these factors mean that our quarterly and even annual results may reflect a combination of underlying seasonal dynamics, acquisition timing, and mix effects across our subsidiaries. Accordingly, fluctuations in our consolidated revenue, profitability and cash flows between periods may occur for reasons other than changes in the fundamental performance of our businesses, and investors should avoid drawing conclusions about underlying trends based solely on short-term movements in our reported results. We believe the breadth of our portfolio and the permanent, long-term ownership model of our platform help moderate, but do not eliminate, seasonality and timing effects at the consolidated level.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Our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Our revenue consists of both product sales and service revenue from our operating subsidiaries. Our operating subsidiaries operate across a broad range of industries and revenues are generated from a diverse mix of product and service offerings. In addition, our operating subsidiaries are located in numerous geographies primarily across the United States. This geographic and industry diversity reduces reliance on any particular customer segment, economic cycle, or local market and is expected to result in a more stable and resilient consolidated revenue profile. Future acquisitions are expected to continue to expand the industry and geographic diversity of our revenue streams. See “—</w:t>
      </w:r>
      <w:r>
        <w:rPr>
          <w:rFonts w:ascii="Times New Roman" w:hAnsi="Times New Roman"/>
          <w:i/>
          <w:sz w:val="20"/>
        </w:rPr>
        <w:t>Critical Accounting Estimates—Revenue Recognition</w:t>
      </w:r>
      <w:r>
        <w:rPr>
          <w:rFonts w:ascii="Times New Roman" w:hAnsi="Times New Roman"/>
          <w:sz w:val="20"/>
        </w:rPr>
        <w:t xml:space="preserve">” below for a more detailed discussion of our revenue recognition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includes the direct cost of products and services sold. The direct cost of products sold primarily includes purchases of raw materials and finished goods from suppliers, adjusted for supplier rebates, personnel costs for employees that directly contribute to the production of goods, packaging materials, shipping costs and depreciation of assets associated with the distribution and delivery of products. Amounts billed to customers for shipping and handling are recorded in revenue, with the related shipping and handling costs recognized in cost of revenue. The direct cost of services sold primarily includes personnel cost for employees that directly contribute to the execution of the services being sold. The personnel costs included in cost of revenue include salaries, wages, benefits and contractor fees. </w:t>
      </w:r>
    </w:p>
    <w:p>
      <w:pPr>
        <w:pStyle w:val="TextBody"/>
        <w:bidi w:val="0"/>
        <w:spacing w:before="240" w:after="0"/>
        <w:jc w:val="left"/>
        <w:rPr>
          <w:rFonts w:ascii="Times New Roman" w:hAnsi="Times New Roman"/>
          <w:sz w:val="20"/>
        </w:rPr>
      </w:pPr>
      <w:r>
        <w:rPr>
          <w:rFonts w:ascii="Times New Roman" w:hAnsi="Times New Roman"/>
          <w:sz w:val="20"/>
        </w:rPr>
        <w:t xml:space="preserve">We expect cost of revenue to increase in future periods as we continue to grow through acquisitions of new businesses. However, the Company’s gross margins may not change proportionally with increases in cost of revenue, as the mix of acquired businesses can differ from the Company’s historical operations. Acquisitions may include businesses with higher or lower gross margins, which could result in changes to overall consolidated gross margin percentages. Consequently, future gross margins may fluctuate based on the types of businesses acquired and the relative contribution of their revenues and costs to total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Depreciation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expense is computed using the straight-line method over the estimated useful life of the related asset. Depreciation expense includes amounts related to vehicles, computers, machinery, and equipment, furniture and fixtures, third-party software, buildings and leasehold improvements used in the Company’s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Amortization </w:t>
      </w:r>
    </w:p>
    <w:p>
      <w:pPr>
        <w:pStyle w:val="TextBody"/>
        <w:bidi w:val="0"/>
        <w:spacing w:before="120" w:after="0"/>
        <w:jc w:val="left"/>
        <w:rPr>
          <w:rFonts w:ascii="Times New Roman" w:hAnsi="Times New Roman"/>
          <w:sz w:val="20"/>
        </w:rPr>
      </w:pPr>
      <w:r>
        <w:rPr>
          <w:rFonts w:ascii="Times New Roman" w:hAnsi="Times New Roman"/>
          <w:sz w:val="20"/>
        </w:rPr>
        <w:t xml:space="preserve">Amortization expense is computed using the straight-line method over the estimated useful life of the related asset. We amortize definite-lived intangible assets, including trade names, customer-related intangible assets and internally developed software. Amortization expense also includes the impairment of definite-lived intangibles. </w:t>
      </w:r>
    </w:p>
    <w:p>
      <w:pPr>
        <w:pStyle w:val="TextBody"/>
        <w:bidi w:val="0"/>
        <w:spacing w:before="240" w:after="0"/>
        <w:jc w:val="left"/>
        <w:rPr>
          <w:rFonts w:ascii="Times New Roman" w:hAnsi="Times New Roman"/>
          <w:sz w:val="20"/>
        </w:rPr>
      </w:pPr>
      <w:r>
        <w:rPr>
          <w:rFonts w:ascii="Times New Roman" w:hAnsi="Times New Roman"/>
          <w:sz w:val="20"/>
        </w:rPr>
        <w:t>See Note 2, “</w:t>
      </w:r>
      <w:r>
        <w:rPr>
          <w:rFonts w:ascii="Times New Roman" w:hAnsi="Times New Roman"/>
          <w:i/>
          <w:sz w:val="20"/>
        </w:rPr>
        <w:t>Summary of Significant Accounting Policies—Goodwill and Intangible Assets</w:t>
      </w:r>
      <w:r>
        <w:rPr>
          <w:rFonts w:ascii="Times New Roman" w:hAnsi="Times New Roman"/>
          <w:sz w:val="20"/>
        </w:rPr>
        <w:t xml:space="preserve">” to our audited annual consolidated financial statements included elsewhere in this prospectus for further discussion of amortization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Selling, General, and Administrative expenses (“</w:t>
      </w:r>
      <w:r>
        <w:rPr>
          <w:rFonts w:ascii="Times New Roman" w:hAnsi="Times New Roman"/>
          <w:b/>
          <w:sz w:val="20"/>
        </w:rPr>
        <w:t>SG&amp;A</w:t>
      </w:r>
      <w:r>
        <w:rPr>
          <w:rFonts w:ascii="Times New Roman" w:hAnsi="Times New Roman"/>
          <w:sz w:val="20"/>
        </w:rPr>
        <w:t xml:space="preserve">”) include personnel costs for employees that support corporate initiatives, and for employees at our operating subsidiaries that are involved in selling and marketing functions, management, accounting, administration and human resources. The personnel costs included in selling, general and administrative expenses includes salaries, wages, benefits and contractor fees. Selling, general and administrative expenses also include rent, professional service fees, stock compensation, advertising and marketing costs, and allocated overhead. </w:t>
      </w:r>
    </w:p>
    <w:p>
      <w:pPr>
        <w:pStyle w:val="TextBody"/>
        <w:bidi w:val="0"/>
        <w:spacing w:before="240" w:after="0"/>
        <w:jc w:val="left"/>
        <w:rPr>
          <w:rFonts w:ascii="Times New Roman" w:hAnsi="Times New Roman"/>
          <w:sz w:val="20"/>
        </w:rPr>
      </w:pPr>
      <w:r>
        <w:rPr>
          <w:rFonts w:ascii="Times New Roman" w:hAnsi="Times New Roman"/>
          <w:sz w:val="20"/>
        </w:rPr>
        <w:t xml:space="preserve">We have taken actions to reduce our corporate headcount in 2025 and 2024; therefore, the current corporate headcount level is below the average for 2025 and 2024. Furthermore, there was $1.0 million and $2.6 million of severance included in SG&amp;A expenses related to these reduction actions for the years ended December 31, 2025 and 2024, respectively. Excluding the impact of other factors, the reductions in corporate headcount would result in decreases in SG&amp;A expenses compared to recent historical periods. However, we expect SG&amp;A expenses to increase in the near term due to increased compliance and reporting costs associated with being a public company, including increased legal, accounting, compliance and investor relations related costs. In connection with the Business Combination, we incurred nonrecurring transaction and advisory costs that will be recognized in SG&amp;A and may increase near-term period-over-period volatility. Additionally, we expect SG&amp;A expenses to increase in the future due to additional personnel and operational costs from newly acquired businesses as the Company continues its growth through acquisitions. However, we expect the incremental earnings from acquisitions and organic growth to materially exceed the increases in corporate overhead. </w:t>
      </w:r>
    </w:p>
    <w:p>
      <w:pPr>
        <w:pStyle w:val="TextBody"/>
        <w:bidi w:val="0"/>
        <w:spacing w:before="360" w:after="0"/>
        <w:jc w:val="left"/>
        <w:rPr>
          <w:rFonts w:ascii="Times New Roman" w:hAnsi="Times New Roman"/>
          <w:b/>
          <w:i/>
          <w:sz w:val="20"/>
        </w:rPr>
      </w:pPr>
      <w:r>
        <w:rPr>
          <w:rFonts w:ascii="Times New Roman" w:hAnsi="Times New Roman"/>
          <w:b/>
          <w:i/>
          <w:sz w:val="20"/>
        </w:rPr>
        <w:t xml:space="preserve">Goodwill Impairment </w:t>
      </w:r>
    </w:p>
    <w:p>
      <w:pPr>
        <w:pStyle w:val="TextBody"/>
        <w:bidi w:val="0"/>
        <w:spacing w:before="120" w:after="0"/>
        <w:jc w:val="left"/>
        <w:rPr>
          <w:rFonts w:ascii="Times New Roman" w:hAnsi="Times New Roman"/>
          <w:sz w:val="20"/>
        </w:rPr>
      </w:pPr>
      <w:r>
        <w:rPr>
          <w:rFonts w:ascii="Times New Roman" w:hAnsi="Times New Roman"/>
          <w:sz w:val="20"/>
        </w:rPr>
        <w:t xml:space="preserve">Goodwill impairment is recognized when the carrying amount of the reporting unit’s net assets exceeds the estimated fair value of the reporting unit. Goodwill impairment primarily relates to persistent declines in the financial performance of certain operating subsidiaries. </w:t>
      </w:r>
    </w:p>
    <w:p>
      <w:pPr>
        <w:pStyle w:val="TextBody"/>
        <w:bidi w:val="0"/>
        <w:spacing w:before="240" w:after="0"/>
        <w:jc w:val="left"/>
        <w:rPr>
          <w:rFonts w:ascii="Times New Roman" w:hAnsi="Times New Roman"/>
          <w:sz w:val="20"/>
        </w:rPr>
      </w:pPr>
      <w:r>
        <w:rPr>
          <w:rFonts w:ascii="Times New Roman" w:hAnsi="Times New Roman"/>
          <w:sz w:val="20"/>
        </w:rPr>
        <w:t>See “—</w:t>
      </w:r>
      <w:r>
        <w:rPr>
          <w:rFonts w:ascii="Times New Roman" w:hAnsi="Times New Roman"/>
          <w:i/>
          <w:sz w:val="20"/>
        </w:rPr>
        <w:t>Critical Accounting Estimates—Goodwill Impairment</w:t>
      </w:r>
      <w:r>
        <w:rPr>
          <w:rFonts w:ascii="Times New Roman" w:hAnsi="Times New Roman"/>
          <w:sz w:val="20"/>
        </w:rPr>
        <w:t xml:space="preserve">” below for a more detailed discussion of our goodwill impairment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Net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net consists primarily of interest expense related to our long term debt as well as interest income related to our cash and cash equivalents. This includes both cash-based interest expense and income, as well as non-cash interest expense such as PIK Interest, amortization of discounts on debt instruments, and the amortization of deferred debt issuance costs. Historically, our interest expense primarily related to borrowings under the i80 Facility and Sound Point facility. These instruments have elevated interest rates compared to recently issued single company term loans and seller notes, and we are in the process of attempting to refinance the i80 Facility. We expect the refinanced debt instrument to have a lower interest rate than these historical credit facilities given the anticipated improvement in our credit profile since issuance as well as the positive impact on our credit profile as a result of the equity proceeds from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U.S. federal and state income taxes and files its tax returns on a consolidated basis. Income tax expense consists of current and deferred components, reflecting taxes payable or refundable for the current year and the expected future tax effects of temporary differences between the financial statement and tax bases of assets and liabilities. We aggregate certain tax attributes when calculating consolidated taxable income for federal and state purposes. The Company’s primary current tax exposure relates to state income taxes, which are recorded as a component of current income tax expense. </w:t>
      </w:r>
    </w:p>
    <w:p>
      <w:pPr>
        <w:pStyle w:val="TextBody"/>
        <w:bidi w:val="0"/>
        <w:spacing w:before="240" w:after="0"/>
        <w:jc w:val="left"/>
        <w:rPr>
          <w:rFonts w:ascii="Times New Roman" w:hAnsi="Times New Roman"/>
          <w:sz w:val="20"/>
        </w:rPr>
      </w:pPr>
      <w:r>
        <w:rPr>
          <w:rFonts w:ascii="Times New Roman" w:hAnsi="Times New Roman"/>
          <w:sz w:val="20"/>
        </w:rPr>
        <w:t>We currently have significant net operating loss (“</w:t>
      </w:r>
      <w:r>
        <w:rPr>
          <w:rFonts w:ascii="Times New Roman" w:hAnsi="Times New Roman"/>
          <w:b/>
          <w:sz w:val="20"/>
        </w:rPr>
        <w:t>NOL</w:t>
      </w:r>
      <w:r>
        <w:rPr>
          <w:rFonts w:ascii="Times New Roman" w:hAnsi="Times New Roman"/>
          <w:sz w:val="20"/>
        </w:rPr>
        <w:t xml:space="preserve">”) carryforwards, which are reflected as deferred tax assets. The realizability of these deferred tax assets is evaluated periodically and is dependent on the generation of future taxable income. Management establishes valuation allowances as necessary to reduce deferred tax assets to the amounts expected to be realized. The Company and its accountants are in the process of evaluating the extent to which any such NOLs may be available to the Company to offset tax liabilities after the Closing; as of the date hereof, this analysis is ongoing. </w:t>
      </w:r>
    </w:p>
    <w:p>
      <w:pPr>
        <w:pStyle w:val="TextBody"/>
        <w:bidi w:val="0"/>
        <w:spacing w:before="360" w:after="0"/>
        <w:jc w:val="left"/>
        <w:rPr>
          <w:rFonts w:ascii="Times New Roman" w:hAnsi="Times New Roman"/>
          <w:b/>
          <w:sz w:val="20"/>
        </w:rPr>
      </w:pPr>
      <w:r>
        <w:rPr>
          <w:rFonts w:ascii="Times New Roman" w:hAnsi="Times New Roman"/>
          <w:b/>
          <w:sz w:val="20"/>
        </w:rPr>
        <w:t xml:space="preserve">Segment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two reportable segments: Small Business Acquisitions and Real Estate. Segment EBITDA is our chief operating decision maker’s primary measure of segment performance. This only includes post-acquisition results and excludes certain non-cash expenses such as depreciation, amortization, goodwill impairment, share-based compensation and gains/(losses) from disposition of assets. Segment Revenues and Segment EBITDA include the impact of intercompany transactions that are eliminated in consolidation. Segment EBITDA includes all expenses directly attributable to the operations of the reportable segments and considered as part of the measure of segment profit or loss evaluated by the chief operating decision maker. Corporate costs that are not directly attributable to those operations are presented separately in the reconciliation to Loss Before Income Taxes. These corporate expenses primarily include personnel and other costs incurred by the Company’s parent entity to perform corporate and enterprise-wide functions, including executive leadership, finance, accounting, legal, acquisitions, human resources, and information technology. Although these functions support the Company on a consolidated basis, the associated costs cannot be allocated on any basis that is meaningful, consistent, or reflective of actual resources consumed by each subsidiary, and therefore corporate expenses are not meaningful to the Company’s chief operating decision maker for performance assessment or resource allocation to the Company’s reportable segments. See further information regarding the Company’s segment reporting and other reportable revenue within the Notes to our Consolidated Financial Statements. The tables below summarize the revenue and Segment EBITDA for each of our reportable segments and in the aggregate: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Three Months Ended March 31, 2026 compared to Three Months Ended March 31, 2025 </w:t>
      </w:r>
    </w:p>
    <w:p>
      <w:pPr>
        <w:pStyle w:val="TextBody"/>
        <w:bidi w:val="0"/>
        <w:spacing w:before="120" w:after="0"/>
        <w:jc w:val="left"/>
        <w:rPr>
          <w:rFonts w:ascii="Times New Roman" w:hAnsi="Times New Roman"/>
          <w:b/>
          <w:i/>
          <w:sz w:val="20"/>
        </w:rPr>
      </w:pPr>
      <w:r>
        <w:rPr>
          <w:rFonts w:ascii="Times New Roman" w:hAnsi="Times New Roman"/>
          <w:b/>
          <w:i/>
          <w:sz w:val="20"/>
        </w:rPr>
        <w:t xml:space="preserve">Segment Revenues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85"/>
        <w:gridCol w:w="268"/>
        <w:gridCol w:w="140"/>
        <w:gridCol w:w="873"/>
        <w:gridCol w:w="60"/>
        <w:gridCol w:w="268"/>
        <w:gridCol w:w="140"/>
        <w:gridCol w:w="873"/>
        <w:gridCol w:w="60"/>
        <w:gridCol w:w="268"/>
        <w:gridCol w:w="169"/>
        <w:gridCol w:w="897"/>
        <w:gridCol w:w="155"/>
        <w:gridCol w:w="268"/>
        <w:gridCol w:w="116"/>
        <w:gridCol w:w="1091"/>
        <w:gridCol w:w="357"/>
      </w:tblGrid>
      <w:tr>
        <w:trPr/>
        <w:tc>
          <w:tcPr>
            <w:tcW w:w="338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38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3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207" w:type="dxa"/>
            <w:gridSpan w:val="2"/>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r>
      <w:tr>
        <w:trPr/>
        <w:tc>
          <w:tcPr>
            <w:tcW w:w="3385" w:type="dxa"/>
            <w:tcBorders/>
            <w:vAlign w:val="bottom"/>
          </w:tcPr>
          <w:p>
            <w:pPr>
              <w:pStyle w:val="TableContents"/>
              <w:bidi w:val="0"/>
              <w:spacing w:before="0" w:after="283"/>
              <w:jc w:val="left"/>
              <w:rPr>
                <w:b/>
                <w:i/>
              </w:rPr>
            </w:pPr>
            <w:r>
              <w:rPr>
                <w:b/>
                <w:i/>
              </w:rPr>
              <w:t>(in thousands, except for percentages)</w:t>
            </w:r>
          </w:p>
        </w:tc>
        <w:tc>
          <w:tcPr>
            <w:tcW w:w="268" w:type="dxa"/>
            <w:tcBorders/>
            <w:vAlign w:val="bottom"/>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57" w:type="dxa"/>
            <w:tcBorders/>
            <w:vAlign w:val="bottom"/>
          </w:tcPr>
          <w:p>
            <w:pPr>
              <w:pStyle w:val="TableContents"/>
              <w:bidi w:val="0"/>
              <w:spacing w:before="0" w:after="283"/>
              <w:jc w:val="left"/>
              <w:rPr/>
            </w:pPr>
            <w:r>
              <w:rPr/>
              <w:t> </w:t>
            </w:r>
          </w:p>
        </w:tc>
      </w:tr>
      <w:tr>
        <w:trPr/>
        <w:tc>
          <w:tcPr>
            <w:tcW w:w="3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Small Business Acquisitions</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3" w:type="dxa"/>
            <w:tcBorders/>
            <w:shd w:fill="CCEEFF" w:val="clear"/>
            <w:vAlign w:val="bottom"/>
          </w:tcPr>
          <w:p>
            <w:pPr>
              <w:pStyle w:val="TableContents"/>
              <w:bidi w:val="0"/>
              <w:spacing w:before="0" w:after="283"/>
              <w:jc w:val="right"/>
              <w:rPr/>
            </w:pPr>
            <w:r>
              <w:rPr/>
              <w:t>121,039</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3" w:type="dxa"/>
            <w:tcBorders/>
            <w:shd w:fill="CCEEFF" w:val="clear"/>
            <w:vAlign w:val="bottom"/>
          </w:tcPr>
          <w:p>
            <w:pPr>
              <w:pStyle w:val="TableContents"/>
              <w:bidi w:val="0"/>
              <w:spacing w:before="0" w:after="283"/>
              <w:jc w:val="right"/>
              <w:rPr/>
            </w:pPr>
            <w:r>
              <w:rPr/>
              <w:t>102,543</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18,496</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18.0</w:t>
            </w:r>
          </w:p>
        </w:tc>
        <w:tc>
          <w:tcPr>
            <w:tcW w:w="357" w:type="dxa"/>
            <w:tcBorders/>
            <w:shd w:fill="CCEEFF" w:val="clear"/>
            <w:vAlign w:val="bottom"/>
          </w:tcPr>
          <w:p>
            <w:pPr>
              <w:pStyle w:val="TableContents"/>
              <w:bidi w:val="0"/>
              <w:spacing w:before="0" w:after="283"/>
              <w:jc w:val="left"/>
              <w:rPr/>
            </w:pPr>
            <w:r>
              <w:rPr/>
              <w:t>% </w:t>
            </w:r>
          </w:p>
        </w:tc>
      </w:tr>
      <w:tr>
        <w:trPr/>
        <w:tc>
          <w:tcPr>
            <w:tcW w:w="3385" w:type="dxa"/>
            <w:tcBorders/>
          </w:tcPr>
          <w:p>
            <w:pPr>
              <w:pStyle w:val="TableContents"/>
              <w:bidi w:val="0"/>
              <w:spacing w:before="0" w:after="0"/>
              <w:jc w:val="left"/>
              <w:rPr>
                <w:rFonts w:ascii="Times New Roman" w:hAnsi="Times New Roman"/>
                <w:sz w:val="20"/>
              </w:rPr>
            </w:pPr>
            <w:r>
              <w:rPr>
                <w:rFonts w:ascii="Times New Roman" w:hAnsi="Times New Roman"/>
                <w:sz w:val="20"/>
              </w:rPr>
              <w:t>Real Estate</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722</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(666</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(92.2</w:t>
            </w:r>
          </w:p>
        </w:tc>
        <w:tc>
          <w:tcPr>
            <w:tcW w:w="357" w:type="dxa"/>
            <w:tcBorders/>
            <w:vAlign w:val="bottom"/>
          </w:tcPr>
          <w:p>
            <w:pPr>
              <w:pStyle w:val="TableContents"/>
              <w:bidi w:val="0"/>
              <w:spacing w:before="0" w:after="283"/>
              <w:jc w:val="left"/>
              <w:rPr/>
            </w:pPr>
            <w:r>
              <w:rPr/>
              <w:t>%) </w:t>
            </w:r>
          </w:p>
        </w:tc>
      </w:tr>
      <w:tr>
        <w:trPr/>
        <w:tc>
          <w:tcPr>
            <w:tcW w:w="338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33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3" w:type="dxa"/>
            <w:tcBorders/>
            <w:shd w:fill="CCEEFF" w:val="clear"/>
            <w:vAlign w:val="bottom"/>
          </w:tcPr>
          <w:p>
            <w:pPr>
              <w:pStyle w:val="TableContents"/>
              <w:bidi w:val="0"/>
              <w:spacing w:before="0" w:after="283"/>
              <w:jc w:val="right"/>
              <w:rPr/>
            </w:pPr>
            <w:r>
              <w:rPr/>
              <w:t>121,096</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3" w:type="dxa"/>
            <w:tcBorders/>
            <w:shd w:fill="CCEEFF" w:val="clear"/>
            <w:vAlign w:val="bottom"/>
          </w:tcPr>
          <w:p>
            <w:pPr>
              <w:pStyle w:val="TableContents"/>
              <w:bidi w:val="0"/>
              <w:spacing w:before="0" w:after="283"/>
              <w:jc w:val="right"/>
              <w:rPr/>
            </w:pPr>
            <w:r>
              <w:rPr/>
              <w:t>103,265</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17,830</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17.3</w:t>
            </w:r>
          </w:p>
        </w:tc>
        <w:tc>
          <w:tcPr>
            <w:tcW w:w="35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consolidated revenue relates solely to the Small Business Acquisitions segment and predominantly all of the revenues related to the Real Estate segment are intercompany and eliminated in consolidation. See further information on changes in the Company’s consolidated revenues within the “Results of Operations”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Segment EBITDA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412"/>
        <w:gridCol w:w="298"/>
        <w:gridCol w:w="191"/>
        <w:gridCol w:w="769"/>
        <w:gridCol w:w="82"/>
        <w:gridCol w:w="337"/>
        <w:gridCol w:w="191"/>
        <w:gridCol w:w="772"/>
        <w:gridCol w:w="60"/>
        <w:gridCol w:w="298"/>
        <w:gridCol w:w="199"/>
        <w:gridCol w:w="832"/>
        <w:gridCol w:w="155"/>
        <w:gridCol w:w="298"/>
        <w:gridCol w:w="116"/>
        <w:gridCol w:w="1017"/>
        <w:gridCol w:w="361"/>
      </w:tblGrid>
      <w:tr>
        <w:trPr/>
        <w:tc>
          <w:tcPr>
            <w:tcW w:w="3412"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1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3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03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33" w:type="dxa"/>
            <w:gridSpan w:val="2"/>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r>
      <w:tr>
        <w:trPr/>
        <w:tc>
          <w:tcPr>
            <w:tcW w:w="3412" w:type="dxa"/>
            <w:tcBorders/>
            <w:vAlign w:val="bottom"/>
          </w:tcPr>
          <w:p>
            <w:pPr>
              <w:pStyle w:val="TableContents"/>
              <w:bidi w:val="0"/>
              <w:spacing w:before="0" w:after="283"/>
              <w:jc w:val="left"/>
              <w:rPr>
                <w:b/>
                <w:i/>
              </w:rPr>
            </w:pPr>
            <w:r>
              <w:rPr>
                <w:b/>
                <w:i/>
              </w:rPr>
              <w:t>(in thousands, except for percentages)</w:t>
            </w:r>
          </w:p>
        </w:tc>
        <w:tc>
          <w:tcPr>
            <w:tcW w:w="298" w:type="dxa"/>
            <w:tcBorders/>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82"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0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61" w:type="dxa"/>
            <w:tcBorders/>
            <w:vAlign w:val="bottom"/>
          </w:tcPr>
          <w:p>
            <w:pPr>
              <w:pStyle w:val="TableContents"/>
              <w:bidi w:val="0"/>
              <w:spacing w:before="0" w:after="283"/>
              <w:jc w:val="left"/>
              <w:rPr/>
            </w:pPr>
            <w:r>
              <w:rPr/>
              <w:t> </w:t>
            </w:r>
          </w:p>
        </w:tc>
      </w:tr>
      <w:tr>
        <w:trPr/>
        <w:tc>
          <w:tcPr>
            <w:tcW w:w="34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Small Business Acquisitions</w:t>
            </w:r>
          </w:p>
        </w:tc>
        <w:tc>
          <w:tcPr>
            <w:tcW w:w="29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69" w:type="dxa"/>
            <w:tcBorders/>
            <w:shd w:fill="CCEEFF" w:val="clear"/>
            <w:vAlign w:val="bottom"/>
          </w:tcPr>
          <w:p>
            <w:pPr>
              <w:pStyle w:val="TableContents"/>
              <w:bidi w:val="0"/>
              <w:spacing w:before="0" w:after="283"/>
              <w:jc w:val="right"/>
              <w:rPr/>
            </w:pPr>
            <w:r>
              <w:rPr/>
              <w:t>9,129</w:t>
            </w:r>
          </w:p>
        </w:tc>
        <w:tc>
          <w:tcPr>
            <w:tcW w:w="82"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5,332</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3,797</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71.2</w:t>
            </w:r>
          </w:p>
        </w:tc>
        <w:tc>
          <w:tcPr>
            <w:tcW w:w="361" w:type="dxa"/>
            <w:tcBorders/>
            <w:shd w:fill="CCEEFF" w:val="clear"/>
            <w:vAlign w:val="bottom"/>
          </w:tcPr>
          <w:p>
            <w:pPr>
              <w:pStyle w:val="TableContents"/>
              <w:bidi w:val="0"/>
              <w:spacing w:before="0" w:after="283"/>
              <w:jc w:val="left"/>
              <w:rPr/>
            </w:pPr>
            <w:r>
              <w:rPr/>
              <w:t>% </w:t>
            </w:r>
          </w:p>
        </w:tc>
      </w:tr>
      <w:tr>
        <w:trPr/>
        <w:tc>
          <w:tcPr>
            <w:tcW w:w="3412" w:type="dxa"/>
            <w:tcBorders/>
          </w:tcPr>
          <w:p>
            <w:pPr>
              <w:pStyle w:val="TableContents"/>
              <w:bidi w:val="0"/>
              <w:spacing w:before="0" w:after="0"/>
              <w:jc w:val="left"/>
              <w:rPr>
                <w:rFonts w:ascii="Times New Roman" w:hAnsi="Times New Roman"/>
                <w:sz w:val="20"/>
              </w:rPr>
            </w:pPr>
            <w:r>
              <w:rPr>
                <w:rFonts w:ascii="Times New Roman" w:hAnsi="Times New Roman"/>
                <w:sz w:val="20"/>
              </w:rPr>
              <w:t>Real Estate</w:t>
            </w:r>
          </w:p>
        </w:tc>
        <w:tc>
          <w:tcPr>
            <w:tcW w:w="29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56</w:t>
            </w:r>
          </w:p>
        </w:tc>
        <w:tc>
          <w:tcPr>
            <w:tcW w:w="82"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717</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(661</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(92.2</w:t>
            </w:r>
          </w:p>
        </w:tc>
        <w:tc>
          <w:tcPr>
            <w:tcW w:w="361" w:type="dxa"/>
            <w:tcBorders/>
            <w:vAlign w:val="bottom"/>
          </w:tcPr>
          <w:p>
            <w:pPr>
              <w:pStyle w:val="TableContents"/>
              <w:bidi w:val="0"/>
              <w:spacing w:before="0" w:after="283"/>
              <w:jc w:val="left"/>
              <w:rPr/>
            </w:pPr>
            <w:r>
              <w:rPr/>
              <w:t>%) </w:t>
            </w:r>
          </w:p>
        </w:tc>
      </w:tr>
      <w:tr>
        <w:trPr/>
        <w:tc>
          <w:tcPr>
            <w:tcW w:w="3412"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82"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34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9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69" w:type="dxa"/>
            <w:tcBorders/>
            <w:shd w:fill="CCEEFF" w:val="clear"/>
            <w:vAlign w:val="bottom"/>
          </w:tcPr>
          <w:p>
            <w:pPr>
              <w:pStyle w:val="TableContents"/>
              <w:bidi w:val="0"/>
              <w:spacing w:before="0" w:after="283"/>
              <w:jc w:val="right"/>
              <w:rPr/>
            </w:pPr>
            <w:r>
              <w:rPr/>
              <w:t>9,185</w:t>
            </w:r>
          </w:p>
        </w:tc>
        <w:tc>
          <w:tcPr>
            <w:tcW w:w="82"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6,050</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3,136</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51.8</w:t>
            </w:r>
          </w:p>
        </w:tc>
        <w:tc>
          <w:tcPr>
            <w:tcW w:w="36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Small Business Acquisitions Segment EBITDA increased $3.8 million to $9.1 million for the three months ended March 31, 2026 from $5.3 million for the three months ended March 31, 2025. The increase was due to acquisitions of $2.2 million, dispositions of $0.8 million, and organic increases of $0.8 million. The increase due to acquisitions was primarily driven by contributions from operating subsidiaries acquired during 2025 subsequent to March 31, 2025. The operating subsidiary acquired during 2026 contributed an immaterial amount of Segment EBITDA during the three months ending March 31, 2026 and had pre-acquisition EBITDA of $0.6 million during the twelve months preceding March 31, 2026. The increase due to dispositions was a result of operating subsidiaries that experienced losses in the prior comparable period and subsequently ceased operations. The organic increase was driven by higher revenues and slight expansion in gross margin. The improvement in gross margin was driven by improved operating leverage and initiatives implemented to enhance operational efficiencies.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Year Ended December 31, 2025 compared to Year Ended December 31, 2024 Segment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85"/>
        <w:gridCol w:w="268"/>
        <w:gridCol w:w="140"/>
        <w:gridCol w:w="873"/>
        <w:gridCol w:w="60"/>
        <w:gridCol w:w="268"/>
        <w:gridCol w:w="140"/>
        <w:gridCol w:w="873"/>
        <w:gridCol w:w="60"/>
        <w:gridCol w:w="268"/>
        <w:gridCol w:w="169"/>
        <w:gridCol w:w="897"/>
        <w:gridCol w:w="155"/>
        <w:gridCol w:w="268"/>
        <w:gridCol w:w="116"/>
        <w:gridCol w:w="1091"/>
        <w:gridCol w:w="357"/>
      </w:tblGrid>
      <w:tr>
        <w:trPr/>
        <w:tc>
          <w:tcPr>
            <w:tcW w:w="338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38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3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207" w:type="dxa"/>
            <w:gridSpan w:val="2"/>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r>
      <w:tr>
        <w:trPr/>
        <w:tc>
          <w:tcPr>
            <w:tcW w:w="3385" w:type="dxa"/>
            <w:tcBorders/>
            <w:vAlign w:val="bottom"/>
          </w:tcPr>
          <w:p>
            <w:pPr>
              <w:pStyle w:val="TableContents"/>
              <w:bidi w:val="0"/>
              <w:spacing w:before="0" w:after="283"/>
              <w:jc w:val="left"/>
              <w:rPr>
                <w:b/>
                <w:i/>
              </w:rPr>
            </w:pPr>
            <w:r>
              <w:rPr>
                <w:b/>
                <w:i/>
              </w:rPr>
              <w:t>(in thousands, except for percentages)</w:t>
            </w:r>
          </w:p>
        </w:tc>
        <w:tc>
          <w:tcPr>
            <w:tcW w:w="268" w:type="dxa"/>
            <w:tcBorders/>
            <w:vAlign w:val="bottom"/>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57" w:type="dxa"/>
            <w:tcBorders/>
            <w:vAlign w:val="bottom"/>
          </w:tcPr>
          <w:p>
            <w:pPr>
              <w:pStyle w:val="TableContents"/>
              <w:bidi w:val="0"/>
              <w:spacing w:before="0" w:after="283"/>
              <w:jc w:val="left"/>
              <w:rPr/>
            </w:pPr>
            <w:r>
              <w:rPr/>
              <w:t> </w:t>
            </w:r>
          </w:p>
        </w:tc>
      </w:tr>
      <w:tr>
        <w:trPr/>
        <w:tc>
          <w:tcPr>
            <w:tcW w:w="3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Small Business Acquisitions</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3" w:type="dxa"/>
            <w:tcBorders/>
            <w:shd w:fill="CCEEFF" w:val="clear"/>
            <w:vAlign w:val="bottom"/>
          </w:tcPr>
          <w:p>
            <w:pPr>
              <w:pStyle w:val="TableContents"/>
              <w:bidi w:val="0"/>
              <w:spacing w:before="0" w:after="283"/>
              <w:jc w:val="right"/>
              <w:rPr/>
            </w:pPr>
            <w:r>
              <w:rPr/>
              <w:t>471,567</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3" w:type="dxa"/>
            <w:tcBorders/>
            <w:shd w:fill="CCEEFF" w:val="clear"/>
            <w:vAlign w:val="bottom"/>
          </w:tcPr>
          <w:p>
            <w:pPr>
              <w:pStyle w:val="TableContents"/>
              <w:bidi w:val="0"/>
              <w:spacing w:before="0" w:after="283"/>
              <w:jc w:val="right"/>
              <w:rPr/>
            </w:pPr>
            <w:r>
              <w:rPr/>
              <w:t>398,641</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72,926</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18.3</w:t>
            </w:r>
          </w:p>
        </w:tc>
        <w:tc>
          <w:tcPr>
            <w:tcW w:w="357" w:type="dxa"/>
            <w:tcBorders/>
            <w:shd w:fill="CCEEFF" w:val="clear"/>
            <w:vAlign w:val="bottom"/>
          </w:tcPr>
          <w:p>
            <w:pPr>
              <w:pStyle w:val="TableContents"/>
              <w:bidi w:val="0"/>
              <w:spacing w:before="0" w:after="283"/>
              <w:jc w:val="left"/>
              <w:rPr/>
            </w:pPr>
            <w:r>
              <w:rPr/>
              <w:t>% </w:t>
            </w:r>
          </w:p>
        </w:tc>
      </w:tr>
      <w:tr>
        <w:trPr/>
        <w:tc>
          <w:tcPr>
            <w:tcW w:w="3385" w:type="dxa"/>
            <w:tcBorders/>
          </w:tcPr>
          <w:p>
            <w:pPr>
              <w:pStyle w:val="TableContents"/>
              <w:bidi w:val="0"/>
              <w:spacing w:before="0" w:after="0"/>
              <w:jc w:val="left"/>
              <w:rPr>
                <w:rFonts w:ascii="Times New Roman" w:hAnsi="Times New Roman"/>
                <w:sz w:val="20"/>
              </w:rPr>
            </w:pPr>
            <w:r>
              <w:rPr>
                <w:rFonts w:ascii="Times New Roman" w:hAnsi="Times New Roman"/>
                <w:sz w:val="20"/>
              </w:rPr>
              <w:t>Real Estate</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2,013</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2,759</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(746</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(27.1</w:t>
            </w:r>
          </w:p>
        </w:tc>
        <w:tc>
          <w:tcPr>
            <w:tcW w:w="357" w:type="dxa"/>
            <w:tcBorders/>
            <w:vAlign w:val="bottom"/>
          </w:tcPr>
          <w:p>
            <w:pPr>
              <w:pStyle w:val="TableContents"/>
              <w:bidi w:val="0"/>
              <w:spacing w:before="0" w:after="283"/>
              <w:jc w:val="left"/>
              <w:rPr/>
            </w:pPr>
            <w:r>
              <w:rPr/>
              <w:t>)% </w:t>
            </w:r>
          </w:p>
        </w:tc>
      </w:tr>
      <w:tr>
        <w:trPr/>
        <w:tc>
          <w:tcPr>
            <w:tcW w:w="338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33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3" w:type="dxa"/>
            <w:tcBorders/>
            <w:shd w:fill="CCEEFF" w:val="clear"/>
            <w:vAlign w:val="bottom"/>
          </w:tcPr>
          <w:p>
            <w:pPr>
              <w:pStyle w:val="TableContents"/>
              <w:bidi w:val="0"/>
              <w:spacing w:before="0" w:after="283"/>
              <w:jc w:val="right"/>
              <w:rPr/>
            </w:pPr>
            <w:r>
              <w:rPr/>
              <w:t>473,580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3" w:type="dxa"/>
            <w:tcBorders/>
            <w:shd w:fill="CCEEFF" w:val="clear"/>
            <w:vAlign w:val="bottom"/>
          </w:tcPr>
          <w:p>
            <w:pPr>
              <w:pStyle w:val="TableContents"/>
              <w:bidi w:val="0"/>
              <w:spacing w:before="0" w:after="283"/>
              <w:jc w:val="right"/>
              <w:rPr/>
            </w:pPr>
            <w:r>
              <w:rPr/>
              <w:t>401,400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72,180</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18.0</w:t>
            </w:r>
          </w:p>
        </w:tc>
        <w:tc>
          <w:tcPr>
            <w:tcW w:w="35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consolidated revenue relates solely to the Small Business Acquisitions segment and predominantly all of the revenues related to the Real Estate segment are intercompany and eliminated in consolidation. See further information on changes in the Company’s consolidated revenues within the “Results of Operations” section.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EBITDA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475"/>
        <w:gridCol w:w="319"/>
        <w:gridCol w:w="140"/>
        <w:gridCol w:w="726"/>
        <w:gridCol w:w="60"/>
        <w:gridCol w:w="319"/>
        <w:gridCol w:w="140"/>
        <w:gridCol w:w="726"/>
        <w:gridCol w:w="60"/>
        <w:gridCol w:w="319"/>
        <w:gridCol w:w="169"/>
        <w:gridCol w:w="897"/>
        <w:gridCol w:w="155"/>
        <w:gridCol w:w="319"/>
        <w:gridCol w:w="107"/>
        <w:gridCol w:w="1100"/>
        <w:gridCol w:w="357"/>
      </w:tblGrid>
      <w:tr>
        <w:trPr/>
        <w:tc>
          <w:tcPr>
            <w:tcW w:w="3475"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47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1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207" w:type="dxa"/>
            <w:gridSpan w:val="2"/>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r>
      <w:tr>
        <w:trPr/>
        <w:tc>
          <w:tcPr>
            <w:tcW w:w="3475" w:type="dxa"/>
            <w:tcBorders/>
            <w:vAlign w:val="bottom"/>
          </w:tcPr>
          <w:p>
            <w:pPr>
              <w:pStyle w:val="TableContents"/>
              <w:bidi w:val="0"/>
              <w:spacing w:before="0" w:after="283"/>
              <w:jc w:val="left"/>
              <w:rPr>
                <w:b/>
                <w:i/>
              </w:rPr>
            </w:pPr>
            <w:r>
              <w:rPr>
                <w:b/>
                <w:i/>
              </w:rPr>
              <w:t>(in thousands, except for percentages)</w:t>
            </w:r>
          </w:p>
        </w:tc>
        <w:tc>
          <w:tcPr>
            <w:tcW w:w="319"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57" w:type="dxa"/>
            <w:tcBorders/>
            <w:vAlign w:val="bottom"/>
          </w:tcPr>
          <w:p>
            <w:pPr>
              <w:pStyle w:val="TableContents"/>
              <w:bidi w:val="0"/>
              <w:spacing w:before="0" w:after="283"/>
              <w:jc w:val="left"/>
              <w:rPr/>
            </w:pPr>
            <w:r>
              <w:rPr/>
              <w:t> </w:t>
            </w:r>
          </w:p>
        </w:tc>
      </w:tr>
      <w:tr>
        <w:trPr/>
        <w:tc>
          <w:tcPr>
            <w:tcW w:w="3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Small Business Acquisitions</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44,137</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19,399</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24,738</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127.5</w:t>
            </w:r>
          </w:p>
        </w:tc>
        <w:tc>
          <w:tcPr>
            <w:tcW w:w="357" w:type="dxa"/>
            <w:tcBorders/>
            <w:shd w:fill="CCEEFF" w:val="clear"/>
            <w:vAlign w:val="bottom"/>
          </w:tcPr>
          <w:p>
            <w:pPr>
              <w:pStyle w:val="TableContents"/>
              <w:bidi w:val="0"/>
              <w:spacing w:before="0" w:after="283"/>
              <w:jc w:val="left"/>
              <w:rPr/>
            </w:pPr>
            <w:r>
              <w:rPr/>
              <w:t>% </w:t>
            </w:r>
          </w:p>
        </w:tc>
      </w:tr>
      <w:tr>
        <w:trPr/>
        <w:tc>
          <w:tcPr>
            <w:tcW w:w="3475" w:type="dxa"/>
            <w:tcBorders/>
          </w:tcPr>
          <w:p>
            <w:pPr>
              <w:pStyle w:val="TableContents"/>
              <w:bidi w:val="0"/>
              <w:spacing w:before="0" w:after="0"/>
              <w:jc w:val="left"/>
              <w:rPr>
                <w:rFonts w:ascii="Times New Roman" w:hAnsi="Times New Roman"/>
                <w:sz w:val="20"/>
              </w:rPr>
            </w:pPr>
            <w:r>
              <w:rPr>
                <w:rFonts w:ascii="Times New Roman" w:hAnsi="Times New Roman"/>
                <w:sz w:val="20"/>
              </w:rPr>
              <w:t>Real Estate</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1,997</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2,742</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(745</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(27.2</w:t>
            </w:r>
          </w:p>
        </w:tc>
        <w:tc>
          <w:tcPr>
            <w:tcW w:w="357" w:type="dxa"/>
            <w:tcBorders/>
            <w:vAlign w:val="bottom"/>
          </w:tcPr>
          <w:p>
            <w:pPr>
              <w:pStyle w:val="TableContents"/>
              <w:bidi w:val="0"/>
              <w:spacing w:before="0" w:after="283"/>
              <w:jc w:val="left"/>
              <w:rPr/>
            </w:pPr>
            <w:r>
              <w:rPr/>
              <w:t>)% </w:t>
            </w:r>
          </w:p>
        </w:tc>
      </w:tr>
      <w:tr>
        <w:trPr/>
        <w:tc>
          <w:tcPr>
            <w:tcW w:w="3475"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34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46,133</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22,142</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23,993</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108.4</w:t>
            </w:r>
          </w:p>
        </w:tc>
        <w:tc>
          <w:tcPr>
            <w:tcW w:w="35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Small Business Acquisitions Segment EBITDA increased $24.7 million to $44.1 million for the year ended December 31, 2025 from $19.4 million for the year ended December 31, 2024. The increase was due to acquisitions of $15.0 million, dispositions of $7.6 million, and organic increases of $2.1 million. The increase due to acquisitions was driven by contributions from operating subsidiaries acquired in 2025 of $10.9 million and operating subsidiaries acquired in 2024 that did not have comparable full year periods in the prior year of $4.1 million. The acquisitions during 2025 are expected to result in an increase in Small Business Acquisitions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Segment EBITDA in future periods since their contributions to our 2025 financial results only include post-acquisition periods. For reference, the pre-acquisition EBITDA of operating subsidiaries acquired during 2025 was $14.8 million for the year ended December 31, 2025, which is primarily attributable to the four operating subsidiaries acquired during the fourth quarter of 2025. The pre-acquisition amounts were derived from the pro forma financial results prepared in accordance with ASC 805 and presented within the “Business Combinations” footnote to the Company’s annual audited consolidated financial statements. The increase due to dispositions primarily related to an operating subsidiary engaged in long-term fixed price construction contracts that incurred losses of $6.0 million during the year ended December 31, 2025. This subsidiary formally ceased operations at the beginning of 2025. The organic increases were primarily due to the implementation of initiatives that resulted in gross margin expansion and lower selling, general and administrative expenses. These initiatives included an increased focus on higher margin products and services, strategic pricing actions, and improvements in labor utilization. </w:t>
      </w:r>
    </w:p>
    <w:p>
      <w:pPr>
        <w:pStyle w:val="TextBody"/>
        <w:bidi w:val="0"/>
        <w:spacing w:before="240" w:after="0"/>
        <w:jc w:val="left"/>
        <w:rPr>
          <w:rFonts w:ascii="Times New Roman" w:hAnsi="Times New Roman"/>
          <w:sz w:val="20"/>
        </w:rPr>
      </w:pPr>
      <w:r>
        <w:rPr>
          <w:rFonts w:ascii="Times New Roman" w:hAnsi="Times New Roman"/>
          <w:sz w:val="20"/>
        </w:rPr>
        <w:t xml:space="preserve">Real Estate Segment EBITDA decreased $0.7 million to $2.0 million for the year ended December 31, 2025 from $2.7 million for the year ended December 31, 2024. The decrease was primarily due to the divestiture of substantially all of the Company’s real estate during August 2025. Real Estate Segment EBITDA is expected to decline further in future periods due to this divestiture.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Three Months Ended March 31, 2026 compared to Three Months Ended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our consolidated results of operations of Teamshares Inc. and its subsidiaries for the periods presented. All intercompany balances and transactions have been eliminated in consolidation.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65"/>
        <w:gridCol w:w="182"/>
        <w:gridCol w:w="140"/>
        <w:gridCol w:w="810"/>
        <w:gridCol w:w="155"/>
        <w:gridCol w:w="182"/>
        <w:gridCol w:w="140"/>
        <w:gridCol w:w="810"/>
        <w:gridCol w:w="155"/>
        <w:gridCol w:w="182"/>
        <w:gridCol w:w="169"/>
        <w:gridCol w:w="831"/>
        <w:gridCol w:w="155"/>
        <w:gridCol w:w="181"/>
        <w:gridCol w:w="96"/>
        <w:gridCol w:w="1028"/>
        <w:gridCol w:w="407"/>
      </w:tblGrid>
      <w:tr>
        <w:trPr/>
        <w:tc>
          <w:tcPr>
            <w:tcW w:w="3765"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376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22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24" w:type="dxa"/>
            <w:gridSpan w:val="2"/>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r>
      <w:tr>
        <w:trPr/>
        <w:tc>
          <w:tcPr>
            <w:tcW w:w="3765" w:type="dxa"/>
            <w:tcBorders/>
            <w:vAlign w:val="bottom"/>
          </w:tcPr>
          <w:p>
            <w:pPr>
              <w:pStyle w:val="TableContents"/>
              <w:bidi w:val="0"/>
              <w:spacing w:before="0" w:after="283"/>
              <w:jc w:val="left"/>
              <w:rPr>
                <w:b/>
                <w:i/>
              </w:rPr>
            </w:pPr>
            <w:r>
              <w:rPr>
                <w:b/>
                <w:i/>
              </w:rPr>
              <w:t>(in thousands, except for percentages)</w:t>
            </w:r>
          </w:p>
        </w:tc>
        <w:tc>
          <w:tcPr>
            <w:tcW w:w="182"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407" w:type="dxa"/>
            <w:tcBorders/>
            <w:vAlign w:val="bottom"/>
          </w:tcPr>
          <w:p>
            <w:pPr>
              <w:pStyle w:val="TableContents"/>
              <w:bidi w:val="0"/>
              <w:spacing w:before="0" w:after="283"/>
              <w:jc w:val="left"/>
              <w:rPr/>
            </w:pPr>
            <w:r>
              <w:rPr/>
              <w:t> </w:t>
            </w:r>
          </w:p>
        </w:tc>
      </w:tr>
      <w:tr>
        <w:trPr/>
        <w:tc>
          <w:tcPr>
            <w:tcW w:w="376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10" w:type="dxa"/>
            <w:tcBorders/>
            <w:shd w:fill="CCEEFF" w:val="clear"/>
            <w:vAlign w:val="bottom"/>
          </w:tcPr>
          <w:p>
            <w:pPr>
              <w:pStyle w:val="TableContents"/>
              <w:bidi w:val="0"/>
              <w:spacing w:before="0" w:after="283"/>
              <w:jc w:val="right"/>
              <w:rPr>
                <w:b/>
              </w:rPr>
            </w:pPr>
            <w:r>
              <w:rPr>
                <w:b/>
              </w:rPr>
              <w:t>121,039</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10" w:type="dxa"/>
            <w:tcBorders/>
            <w:shd w:fill="CCEEFF" w:val="clear"/>
            <w:vAlign w:val="bottom"/>
          </w:tcPr>
          <w:p>
            <w:pPr>
              <w:pStyle w:val="TableContents"/>
              <w:bidi w:val="0"/>
              <w:spacing w:before="0" w:after="283"/>
              <w:jc w:val="right"/>
              <w:rPr>
                <w:b/>
              </w:rPr>
            </w:pPr>
            <w:r>
              <w:rPr>
                <w:b/>
              </w:rPr>
              <w:t>102,543</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831" w:type="dxa"/>
            <w:tcBorders/>
            <w:shd w:fill="CCEEFF" w:val="clear"/>
            <w:vAlign w:val="bottom"/>
          </w:tcPr>
          <w:p>
            <w:pPr>
              <w:pStyle w:val="TableContents"/>
              <w:bidi w:val="0"/>
              <w:spacing w:before="0" w:after="283"/>
              <w:jc w:val="right"/>
              <w:rPr>
                <w:b/>
              </w:rPr>
            </w:pPr>
            <w:r>
              <w:rPr>
                <w:b/>
              </w:rPr>
              <w:t>18,496</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b/>
              </w:rPr>
            </w:pPr>
            <w:r>
              <w:rPr>
                <w:b/>
              </w:rPr>
              <w:t>18.0</w:t>
            </w:r>
          </w:p>
        </w:tc>
        <w:tc>
          <w:tcPr>
            <w:tcW w:w="407" w:type="dxa"/>
            <w:tcBorders/>
            <w:shd w:fill="CCEEFF" w:val="clear"/>
            <w:vAlign w:val="bottom"/>
          </w:tcPr>
          <w:p>
            <w:pPr>
              <w:pStyle w:val="TableContents"/>
              <w:bidi w:val="0"/>
              <w:spacing w:before="0" w:after="283"/>
              <w:jc w:val="left"/>
              <w:rPr>
                <w:b/>
              </w:rPr>
            </w:pPr>
            <w:r>
              <w:rPr>
                <w:b/>
              </w:rPr>
              <w:t>% </w:t>
            </w:r>
          </w:p>
        </w:tc>
      </w:tr>
      <w:tr>
        <w:trPr/>
        <w:tc>
          <w:tcPr>
            <w:tcW w:w="3765"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73,096</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63,643</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9,453</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14.9</w:t>
            </w:r>
          </w:p>
        </w:tc>
        <w:tc>
          <w:tcPr>
            <w:tcW w:w="407" w:type="dxa"/>
            <w:tcBorders/>
            <w:vAlign w:val="bottom"/>
          </w:tcPr>
          <w:p>
            <w:pPr>
              <w:pStyle w:val="TableContents"/>
              <w:bidi w:val="0"/>
              <w:spacing w:before="0" w:after="283"/>
              <w:jc w:val="left"/>
              <w:rPr/>
            </w:pPr>
            <w:r>
              <w:rPr/>
              <w:t>% </w:t>
            </w:r>
          </w:p>
        </w:tc>
      </w:tr>
      <w:tr>
        <w:trPr/>
        <w:tc>
          <w:tcPr>
            <w:tcW w:w="376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407" w:type="dxa"/>
            <w:tcBorders/>
            <w:vAlign w:val="center"/>
          </w:tcPr>
          <w:p>
            <w:pPr>
              <w:pStyle w:val="TableContents"/>
              <w:bidi w:val="0"/>
              <w:spacing w:before="0" w:after="283"/>
              <w:jc w:val="left"/>
              <w:rPr/>
            </w:pPr>
            <w:r>
              <w:rPr/>
              <w:t> </w:t>
            </w:r>
          </w:p>
        </w:tc>
      </w:tr>
      <w:tr>
        <w:trPr/>
        <w:tc>
          <w:tcPr>
            <w:tcW w:w="376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b/>
              </w:rPr>
            </w:pPr>
            <w:r>
              <w:rPr>
                <w:b/>
              </w:rPr>
              <w:t>47,943</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b/>
              </w:rPr>
            </w:pPr>
            <w:r>
              <w:rPr>
                <w:b/>
              </w:rPr>
              <w:t>38,900</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b/>
              </w:rPr>
            </w:pPr>
            <w:r>
              <w:rPr>
                <w:b/>
              </w:rPr>
              <w:t>9,043</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b/>
              </w:rPr>
            </w:pPr>
            <w:r>
              <w:rPr>
                <w:b/>
              </w:rPr>
              <w:t>23.2</w:t>
            </w:r>
          </w:p>
        </w:tc>
        <w:tc>
          <w:tcPr>
            <w:tcW w:w="407" w:type="dxa"/>
            <w:tcBorders/>
            <w:shd w:fill="CCEEFF" w:val="clear"/>
            <w:vAlign w:val="bottom"/>
          </w:tcPr>
          <w:p>
            <w:pPr>
              <w:pStyle w:val="TableContents"/>
              <w:bidi w:val="0"/>
              <w:spacing w:before="0" w:after="283"/>
              <w:jc w:val="left"/>
              <w:rPr>
                <w:b/>
              </w:rPr>
            </w:pPr>
            <w:r>
              <w:rPr>
                <w:b/>
              </w:rPr>
              <w:t>% </w:t>
            </w:r>
          </w:p>
        </w:tc>
      </w:tr>
      <w:tr>
        <w:trPr/>
        <w:tc>
          <w:tcPr>
            <w:tcW w:w="376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 (Income)</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r>
      <w:tr>
        <w:trPr/>
        <w:tc>
          <w:tcPr>
            <w:tcW w:w="3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823</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837</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(1.7</w:t>
            </w:r>
          </w:p>
        </w:tc>
        <w:tc>
          <w:tcPr>
            <w:tcW w:w="407" w:type="dxa"/>
            <w:tcBorders/>
            <w:shd w:fill="CCEEFF" w:val="clear"/>
            <w:vAlign w:val="bottom"/>
          </w:tcPr>
          <w:p>
            <w:pPr>
              <w:pStyle w:val="TableContents"/>
              <w:bidi w:val="0"/>
              <w:spacing w:before="0" w:after="283"/>
              <w:jc w:val="left"/>
              <w:rPr/>
            </w:pPr>
            <w:r>
              <w:rPr/>
              <w:t>)% </w:t>
            </w:r>
          </w:p>
        </w:tc>
      </w:tr>
      <w:tr>
        <w:trPr/>
        <w:tc>
          <w:tcPr>
            <w:tcW w:w="376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1,704</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1,413</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291</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20.6</w:t>
            </w:r>
          </w:p>
        </w:tc>
        <w:tc>
          <w:tcPr>
            <w:tcW w:w="407" w:type="dxa"/>
            <w:tcBorders/>
            <w:vAlign w:val="bottom"/>
          </w:tcPr>
          <w:p>
            <w:pPr>
              <w:pStyle w:val="TableContents"/>
              <w:bidi w:val="0"/>
              <w:spacing w:before="0" w:after="283"/>
              <w:jc w:val="left"/>
              <w:rPr/>
            </w:pPr>
            <w:r>
              <w:rPr/>
              <w:t>% </w:t>
            </w:r>
          </w:p>
        </w:tc>
      </w:tr>
      <w:tr>
        <w:trPr/>
        <w:tc>
          <w:tcPr>
            <w:tcW w:w="3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53,014</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45,789</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7,225</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15.8</w:t>
            </w:r>
          </w:p>
        </w:tc>
        <w:tc>
          <w:tcPr>
            <w:tcW w:w="407" w:type="dxa"/>
            <w:tcBorders/>
            <w:shd w:fill="CCEEFF" w:val="clear"/>
            <w:vAlign w:val="bottom"/>
          </w:tcPr>
          <w:p>
            <w:pPr>
              <w:pStyle w:val="TableContents"/>
              <w:bidi w:val="0"/>
              <w:spacing w:before="0" w:after="283"/>
              <w:jc w:val="left"/>
              <w:rPr/>
            </w:pPr>
            <w:r>
              <w:rPr/>
              <w:t>% </w:t>
            </w:r>
          </w:p>
        </w:tc>
      </w:tr>
      <w:tr>
        <w:trPr/>
        <w:tc>
          <w:tcPr>
            <w:tcW w:w="3765"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2,980</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(2,980</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(100.0</w:t>
            </w:r>
          </w:p>
        </w:tc>
        <w:tc>
          <w:tcPr>
            <w:tcW w:w="407" w:type="dxa"/>
            <w:tcBorders/>
            <w:vAlign w:val="bottom"/>
          </w:tcPr>
          <w:p>
            <w:pPr>
              <w:pStyle w:val="TableContents"/>
              <w:bidi w:val="0"/>
              <w:spacing w:before="0" w:after="283"/>
              <w:jc w:val="left"/>
              <w:rPr/>
            </w:pPr>
            <w:r>
              <w:rPr/>
              <w:t>)% </w:t>
            </w:r>
          </w:p>
        </w:tc>
      </w:tr>
      <w:tr>
        <w:trPr/>
        <w:tc>
          <w:tcPr>
            <w:tcW w:w="3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Disposition of Assets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(203</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435</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(638</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(146.6</w:t>
            </w:r>
          </w:p>
        </w:tc>
        <w:tc>
          <w:tcPr>
            <w:tcW w:w="407" w:type="dxa"/>
            <w:tcBorders/>
            <w:shd w:fill="CCEEFF" w:val="clear"/>
            <w:vAlign w:val="bottom"/>
          </w:tcPr>
          <w:p>
            <w:pPr>
              <w:pStyle w:val="TableContents"/>
              <w:bidi w:val="0"/>
              <w:spacing w:before="0" w:after="283"/>
              <w:jc w:val="left"/>
              <w:rPr/>
            </w:pPr>
            <w:r>
              <w:rPr/>
              <w:t>)% </w:t>
            </w:r>
          </w:p>
        </w:tc>
      </w:tr>
      <w:tr>
        <w:trPr/>
        <w:tc>
          <w:tcPr>
            <w:tcW w:w="376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407" w:type="dxa"/>
            <w:tcBorders/>
            <w:vAlign w:val="center"/>
          </w:tcPr>
          <w:p>
            <w:pPr>
              <w:pStyle w:val="TableContents"/>
              <w:bidi w:val="0"/>
              <w:spacing w:before="0" w:after="283"/>
              <w:jc w:val="left"/>
              <w:rPr/>
            </w:pPr>
            <w:r>
              <w:rPr/>
              <w:t> </w:t>
            </w:r>
          </w:p>
        </w:tc>
      </w:tr>
      <w:tr>
        <w:trPr/>
        <w:tc>
          <w:tcPr>
            <w:tcW w:w="37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b/>
              </w:rPr>
            </w:pPr>
            <w:r>
              <w:rPr>
                <w:b/>
              </w:rPr>
              <w:t>55,338</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b/>
              </w:rPr>
            </w:pPr>
            <w:r>
              <w:rPr>
                <w:b/>
              </w:rPr>
              <w:t>51,455</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b/>
              </w:rPr>
            </w:pPr>
            <w:r>
              <w:rPr>
                <w:b/>
              </w:rPr>
              <w:t>3,884</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b/>
              </w:rPr>
            </w:pPr>
            <w:r>
              <w:rPr>
                <w:b/>
              </w:rPr>
              <w:t>7.5</w:t>
            </w:r>
          </w:p>
        </w:tc>
        <w:tc>
          <w:tcPr>
            <w:tcW w:w="407" w:type="dxa"/>
            <w:tcBorders/>
            <w:vAlign w:val="bottom"/>
          </w:tcPr>
          <w:p>
            <w:pPr>
              <w:pStyle w:val="TableContents"/>
              <w:bidi w:val="0"/>
              <w:spacing w:before="0" w:after="283"/>
              <w:jc w:val="left"/>
              <w:rPr>
                <w:b/>
              </w:rPr>
            </w:pPr>
            <w:r>
              <w:rPr>
                <w:b/>
              </w:rPr>
              <w:t>% </w:t>
            </w:r>
          </w:p>
        </w:tc>
      </w:tr>
      <w:tr>
        <w:trPr/>
        <w:tc>
          <w:tcPr>
            <w:tcW w:w="376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b/>
              </w:rPr>
            </w:pPr>
            <w:r>
              <w:rPr>
                <w:b/>
              </w:rPr>
              <w:t>(7,395</w:t>
            </w:r>
          </w:p>
        </w:tc>
        <w:tc>
          <w:tcPr>
            <w:tcW w:w="155" w:type="dxa"/>
            <w:tcBorders/>
            <w:shd w:fill="CCEEFF" w:val="clear"/>
            <w:vAlign w:val="bottom"/>
          </w:tcPr>
          <w:p>
            <w:pPr>
              <w:pStyle w:val="TableContents"/>
              <w:bidi w:val="0"/>
              <w:spacing w:before="0" w:after="283"/>
              <w:jc w:val="left"/>
              <w:rPr>
                <w:b/>
              </w:rPr>
            </w:pPr>
            <w:r>
              <w:rPr>
                <w:b/>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b/>
              </w:rPr>
            </w:pPr>
            <w:r>
              <w:rPr>
                <w:b/>
              </w:rPr>
              <w:t>(12,554</w:t>
            </w:r>
          </w:p>
        </w:tc>
        <w:tc>
          <w:tcPr>
            <w:tcW w:w="155" w:type="dxa"/>
            <w:tcBorders/>
            <w:shd w:fill="CCEEFF" w:val="clear"/>
            <w:vAlign w:val="bottom"/>
          </w:tcPr>
          <w:p>
            <w:pPr>
              <w:pStyle w:val="TableContents"/>
              <w:bidi w:val="0"/>
              <w:spacing w:before="0" w:after="283"/>
              <w:jc w:val="left"/>
              <w:rPr>
                <w:b/>
              </w:rPr>
            </w:pPr>
            <w:r>
              <w:rPr>
                <w:b/>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b/>
              </w:rPr>
            </w:pPr>
            <w:r>
              <w:rPr>
                <w:b/>
              </w:rPr>
              <w:t>5,159</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b/>
              </w:rPr>
            </w:pPr>
            <w:r>
              <w:rPr>
                <w:b/>
              </w:rPr>
              <w:t>(41.1</w:t>
            </w:r>
          </w:p>
        </w:tc>
        <w:tc>
          <w:tcPr>
            <w:tcW w:w="407" w:type="dxa"/>
            <w:tcBorders/>
            <w:shd w:fill="CCEEFF" w:val="clear"/>
            <w:vAlign w:val="bottom"/>
          </w:tcPr>
          <w:p>
            <w:pPr>
              <w:pStyle w:val="TableContents"/>
              <w:bidi w:val="0"/>
              <w:spacing w:before="0" w:after="283"/>
              <w:jc w:val="left"/>
              <w:rPr>
                <w:b/>
              </w:rPr>
            </w:pPr>
            <w:r>
              <w:rPr>
                <w:b/>
              </w:rPr>
              <w:t>)% </w:t>
            </w:r>
          </w:p>
        </w:tc>
      </w:tr>
      <w:tr>
        <w:trPr/>
        <w:tc>
          <w:tcPr>
            <w:tcW w:w="3765" w:type="dxa"/>
            <w:tcBorders/>
          </w:tcPr>
          <w:p>
            <w:pPr>
              <w:pStyle w:val="TableContents"/>
              <w:bidi w:val="0"/>
              <w:spacing w:before="0" w:after="0"/>
              <w:jc w:val="left"/>
              <w:rPr>
                <w:rFonts w:ascii="Times New Roman" w:hAnsi="Times New Roman"/>
                <w:sz w:val="20"/>
              </w:rPr>
            </w:pPr>
            <w:r>
              <w:rPr>
                <w:rFonts w:ascii="Times New Roman" w:hAnsi="Times New Roman"/>
                <w:sz w:val="20"/>
              </w:rPr>
              <w:t>Non-Operating Expenses (Income)</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r>
      <w:tr>
        <w:trPr/>
        <w:tc>
          <w:tcPr>
            <w:tcW w:w="3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15,364</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7,304</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8,060</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110.4</w:t>
            </w:r>
          </w:p>
        </w:tc>
        <w:tc>
          <w:tcPr>
            <w:tcW w:w="407" w:type="dxa"/>
            <w:tcBorders/>
            <w:shd w:fill="CCEEFF" w:val="clear"/>
            <w:vAlign w:val="bottom"/>
          </w:tcPr>
          <w:p>
            <w:pPr>
              <w:pStyle w:val="TableContents"/>
              <w:bidi w:val="0"/>
              <w:spacing w:before="0" w:after="283"/>
              <w:jc w:val="left"/>
              <w:rPr/>
            </w:pPr>
            <w:r>
              <w:rPr/>
              <w:t>% </w:t>
            </w:r>
          </w:p>
        </w:tc>
      </w:tr>
      <w:tr>
        <w:trPr/>
        <w:tc>
          <w:tcPr>
            <w:tcW w:w="3765"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(41</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(324</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283</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(87.2</w:t>
            </w:r>
          </w:p>
        </w:tc>
        <w:tc>
          <w:tcPr>
            <w:tcW w:w="407" w:type="dxa"/>
            <w:tcBorders/>
            <w:vAlign w:val="bottom"/>
          </w:tcPr>
          <w:p>
            <w:pPr>
              <w:pStyle w:val="TableContents"/>
              <w:bidi w:val="0"/>
              <w:spacing w:before="0" w:after="283"/>
              <w:jc w:val="left"/>
              <w:rPr/>
            </w:pPr>
            <w:r>
              <w:rPr/>
              <w:t>)% </w:t>
            </w:r>
          </w:p>
        </w:tc>
      </w:tr>
      <w:tr>
        <w:trPr/>
        <w:tc>
          <w:tcPr>
            <w:tcW w:w="3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(177</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174</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(98.1</w:t>
            </w:r>
          </w:p>
        </w:tc>
        <w:tc>
          <w:tcPr>
            <w:tcW w:w="407" w:type="dxa"/>
            <w:tcBorders/>
            <w:shd w:fill="CCEEFF" w:val="clear"/>
            <w:vAlign w:val="bottom"/>
          </w:tcPr>
          <w:p>
            <w:pPr>
              <w:pStyle w:val="TableContents"/>
              <w:bidi w:val="0"/>
              <w:spacing w:before="0" w:after="283"/>
              <w:jc w:val="left"/>
              <w:rPr/>
            </w:pPr>
            <w:r>
              <w:rPr/>
              <w:t>)% </w:t>
            </w:r>
          </w:p>
        </w:tc>
      </w:tr>
      <w:tr>
        <w:trPr/>
        <w:tc>
          <w:tcPr>
            <w:tcW w:w="3765"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Expense (Income), Net</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(297</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1,851</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(2,148</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(116.0</w:t>
            </w:r>
          </w:p>
        </w:tc>
        <w:tc>
          <w:tcPr>
            <w:tcW w:w="407" w:type="dxa"/>
            <w:tcBorders/>
            <w:vAlign w:val="bottom"/>
          </w:tcPr>
          <w:p>
            <w:pPr>
              <w:pStyle w:val="TableContents"/>
              <w:bidi w:val="0"/>
              <w:spacing w:before="0" w:after="283"/>
              <w:jc w:val="left"/>
              <w:rPr/>
            </w:pPr>
            <w:r>
              <w:rPr/>
              <w:t>)% </w:t>
            </w:r>
          </w:p>
        </w:tc>
      </w:tr>
      <w:tr>
        <w:trPr/>
        <w:tc>
          <w:tcPr>
            <w:tcW w:w="376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407" w:type="dxa"/>
            <w:tcBorders/>
            <w:vAlign w:val="center"/>
          </w:tcPr>
          <w:p>
            <w:pPr>
              <w:pStyle w:val="TableContents"/>
              <w:bidi w:val="0"/>
              <w:spacing w:before="0" w:after="283"/>
              <w:jc w:val="left"/>
              <w:rPr/>
            </w:pPr>
            <w:r>
              <w:rPr/>
              <w:t> </w:t>
            </w:r>
          </w:p>
        </w:tc>
      </w:tr>
      <w:tr>
        <w:trPr/>
        <w:tc>
          <w:tcPr>
            <w:tcW w:w="376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Non-Operating Expenses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b/>
              </w:rPr>
            </w:pPr>
            <w:r>
              <w:rPr>
                <w:b/>
              </w:rPr>
              <w:t>15,023</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b/>
              </w:rPr>
            </w:pPr>
            <w:r>
              <w:rPr>
                <w:b/>
              </w:rPr>
              <w:t>8,654</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b/>
              </w:rPr>
            </w:pPr>
            <w:r>
              <w:rPr>
                <w:b/>
              </w:rPr>
              <w:t>6,369</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b/>
              </w:rPr>
            </w:pPr>
            <w:r>
              <w:rPr>
                <w:b/>
              </w:rPr>
              <w:t>73.6</w:t>
            </w:r>
          </w:p>
        </w:tc>
        <w:tc>
          <w:tcPr>
            <w:tcW w:w="407" w:type="dxa"/>
            <w:tcBorders/>
            <w:shd w:fill="CCEEFF" w:val="clear"/>
            <w:vAlign w:val="bottom"/>
          </w:tcPr>
          <w:p>
            <w:pPr>
              <w:pStyle w:val="TableContents"/>
              <w:bidi w:val="0"/>
              <w:spacing w:before="0" w:after="283"/>
              <w:jc w:val="left"/>
              <w:rPr>
                <w:b/>
              </w:rPr>
            </w:pPr>
            <w:r>
              <w:rPr>
                <w:b/>
              </w:rPr>
              <w:t>% </w:t>
            </w:r>
          </w:p>
        </w:tc>
      </w:tr>
      <w:tr>
        <w:trPr/>
        <w:tc>
          <w:tcPr>
            <w:tcW w:w="37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b/>
              </w:rPr>
            </w:pPr>
            <w:r>
              <w:rPr>
                <w:b/>
              </w:rPr>
              <w:t>(22,418</w:t>
            </w:r>
          </w:p>
        </w:tc>
        <w:tc>
          <w:tcPr>
            <w:tcW w:w="155" w:type="dxa"/>
            <w:tcBorders/>
            <w:vAlign w:val="bottom"/>
          </w:tcPr>
          <w:p>
            <w:pPr>
              <w:pStyle w:val="TableContents"/>
              <w:bidi w:val="0"/>
              <w:spacing w:before="0" w:after="283"/>
              <w:jc w:val="left"/>
              <w:rPr>
                <w:b/>
              </w:rPr>
            </w:pPr>
            <w:r>
              <w:rPr>
                <w:b/>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b/>
              </w:rPr>
            </w:pPr>
            <w:r>
              <w:rPr>
                <w:b/>
              </w:rPr>
              <w:t>(21,208</w:t>
            </w:r>
          </w:p>
        </w:tc>
        <w:tc>
          <w:tcPr>
            <w:tcW w:w="155" w:type="dxa"/>
            <w:tcBorders/>
            <w:vAlign w:val="bottom"/>
          </w:tcPr>
          <w:p>
            <w:pPr>
              <w:pStyle w:val="TableContents"/>
              <w:bidi w:val="0"/>
              <w:spacing w:before="0" w:after="283"/>
              <w:jc w:val="left"/>
              <w:rPr>
                <w:b/>
              </w:rPr>
            </w:pPr>
            <w:r>
              <w:rPr>
                <w:b/>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b/>
              </w:rPr>
            </w:pPr>
            <w:r>
              <w:rPr>
                <w:b/>
              </w:rPr>
              <w:t>(1,210</w:t>
            </w:r>
          </w:p>
        </w:tc>
        <w:tc>
          <w:tcPr>
            <w:tcW w:w="155" w:type="dxa"/>
            <w:tcBorders/>
            <w:vAlign w:val="bottom"/>
          </w:tcPr>
          <w:p>
            <w:pPr>
              <w:pStyle w:val="TableContents"/>
              <w:bidi w:val="0"/>
              <w:spacing w:before="0" w:after="283"/>
              <w:jc w:val="left"/>
              <w:rPr>
                <w:b/>
              </w:rPr>
            </w:pPr>
            <w:r>
              <w:rPr>
                <w:b/>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b/>
              </w:rPr>
            </w:pPr>
            <w:r>
              <w:rPr>
                <w:b/>
              </w:rPr>
              <w:t>5.7</w:t>
            </w:r>
          </w:p>
        </w:tc>
        <w:tc>
          <w:tcPr>
            <w:tcW w:w="407" w:type="dxa"/>
            <w:tcBorders/>
            <w:vAlign w:val="bottom"/>
          </w:tcPr>
          <w:p>
            <w:pPr>
              <w:pStyle w:val="TableContents"/>
              <w:bidi w:val="0"/>
              <w:spacing w:before="0" w:after="283"/>
              <w:jc w:val="left"/>
              <w:rPr>
                <w:b/>
              </w:rPr>
            </w:pPr>
            <w:r>
              <w:rPr>
                <w:b/>
              </w:rPr>
              <w:t>% </w:t>
            </w:r>
          </w:p>
        </w:tc>
      </w:tr>
      <w:tr>
        <w:trPr/>
        <w:tc>
          <w:tcPr>
            <w:tcW w:w="3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359</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181</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178</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98.0</w:t>
            </w:r>
          </w:p>
        </w:tc>
        <w:tc>
          <w:tcPr>
            <w:tcW w:w="407" w:type="dxa"/>
            <w:tcBorders/>
            <w:shd w:fill="CCEEFF" w:val="clear"/>
            <w:vAlign w:val="bottom"/>
          </w:tcPr>
          <w:p>
            <w:pPr>
              <w:pStyle w:val="TableContents"/>
              <w:bidi w:val="0"/>
              <w:spacing w:before="0" w:after="283"/>
              <w:jc w:val="left"/>
              <w:rPr/>
            </w:pPr>
            <w:r>
              <w:rPr/>
              <w:t>% </w:t>
            </w:r>
          </w:p>
        </w:tc>
      </w:tr>
      <w:tr>
        <w:trPr/>
        <w:tc>
          <w:tcPr>
            <w:tcW w:w="376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407" w:type="dxa"/>
            <w:tcBorders/>
            <w:vAlign w:val="center"/>
          </w:tcPr>
          <w:p>
            <w:pPr>
              <w:pStyle w:val="TableContents"/>
              <w:bidi w:val="0"/>
              <w:spacing w:before="0" w:after="283"/>
              <w:jc w:val="left"/>
              <w:rPr/>
            </w:pPr>
            <w:r>
              <w:rPr/>
              <w:t> </w:t>
            </w:r>
          </w:p>
        </w:tc>
      </w:tr>
      <w:tr>
        <w:trPr/>
        <w:tc>
          <w:tcPr>
            <w:tcW w:w="37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10" w:type="dxa"/>
            <w:tcBorders/>
            <w:vAlign w:val="bottom"/>
          </w:tcPr>
          <w:p>
            <w:pPr>
              <w:pStyle w:val="TableContents"/>
              <w:bidi w:val="0"/>
              <w:spacing w:before="0" w:after="283"/>
              <w:jc w:val="right"/>
              <w:rPr>
                <w:b/>
              </w:rPr>
            </w:pPr>
            <w:r>
              <w:rPr>
                <w:b/>
              </w:rPr>
              <w:t>(22,777</w:t>
            </w:r>
          </w:p>
        </w:tc>
        <w:tc>
          <w:tcPr>
            <w:tcW w:w="155" w:type="dxa"/>
            <w:tcBorders/>
            <w:vAlign w:val="bottom"/>
          </w:tcPr>
          <w:p>
            <w:pPr>
              <w:pStyle w:val="TableContents"/>
              <w:bidi w:val="0"/>
              <w:spacing w:before="0" w:after="283"/>
              <w:jc w:val="left"/>
              <w:rPr>
                <w:b/>
              </w:rPr>
            </w:pPr>
            <w:r>
              <w:rPr>
                <w:b/>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10" w:type="dxa"/>
            <w:tcBorders/>
            <w:vAlign w:val="bottom"/>
          </w:tcPr>
          <w:p>
            <w:pPr>
              <w:pStyle w:val="TableContents"/>
              <w:bidi w:val="0"/>
              <w:spacing w:before="0" w:after="283"/>
              <w:jc w:val="right"/>
              <w:rPr>
                <w:b/>
              </w:rPr>
            </w:pPr>
            <w:r>
              <w:rPr>
                <w:b/>
              </w:rPr>
              <w:t>(21,390</w:t>
            </w:r>
          </w:p>
        </w:tc>
        <w:tc>
          <w:tcPr>
            <w:tcW w:w="155" w:type="dxa"/>
            <w:tcBorders/>
            <w:vAlign w:val="bottom"/>
          </w:tcPr>
          <w:p>
            <w:pPr>
              <w:pStyle w:val="TableContents"/>
              <w:bidi w:val="0"/>
              <w:spacing w:before="0" w:after="283"/>
              <w:jc w:val="left"/>
              <w:rPr>
                <w:b/>
              </w:rPr>
            </w:pPr>
            <w:r>
              <w:rPr>
                <w:b/>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831" w:type="dxa"/>
            <w:tcBorders/>
            <w:vAlign w:val="bottom"/>
          </w:tcPr>
          <w:p>
            <w:pPr>
              <w:pStyle w:val="TableContents"/>
              <w:bidi w:val="0"/>
              <w:spacing w:before="0" w:after="283"/>
              <w:jc w:val="right"/>
              <w:rPr>
                <w:b/>
              </w:rPr>
            </w:pPr>
            <w:r>
              <w:rPr>
                <w:b/>
              </w:rPr>
              <w:t>(1,387</w:t>
            </w:r>
          </w:p>
        </w:tc>
        <w:tc>
          <w:tcPr>
            <w:tcW w:w="155" w:type="dxa"/>
            <w:tcBorders/>
            <w:vAlign w:val="bottom"/>
          </w:tcPr>
          <w:p>
            <w:pPr>
              <w:pStyle w:val="TableContents"/>
              <w:bidi w:val="0"/>
              <w:spacing w:before="0" w:after="283"/>
              <w:jc w:val="left"/>
              <w:rPr>
                <w:b/>
              </w:rPr>
            </w:pPr>
            <w:r>
              <w:rPr>
                <w:b/>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b/>
              </w:rPr>
            </w:pPr>
            <w:r>
              <w:rPr>
                <w:b/>
              </w:rPr>
              <w:t>6.5</w:t>
            </w:r>
          </w:p>
        </w:tc>
        <w:tc>
          <w:tcPr>
            <w:tcW w:w="407" w:type="dxa"/>
            <w:tcBorders/>
            <w:vAlign w:val="bottom"/>
          </w:tcPr>
          <w:p>
            <w:pPr>
              <w:pStyle w:val="TableContents"/>
              <w:bidi w:val="0"/>
              <w:spacing w:before="0" w:after="283"/>
              <w:jc w:val="left"/>
              <w:rPr>
                <w:b/>
              </w:rPr>
            </w:pPr>
            <w:r>
              <w:rPr>
                <w:b/>
              </w:rPr>
              <w:t>% </w:t>
            </w:r>
          </w:p>
        </w:tc>
      </w:tr>
      <w:tr>
        <w:trPr/>
        <w:tc>
          <w:tcPr>
            <w:tcW w:w="3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Noncontrolling Interests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(268.4</w:t>
            </w:r>
          </w:p>
        </w:tc>
        <w:tc>
          <w:tcPr>
            <w:tcW w:w="407" w:type="dxa"/>
            <w:tcBorders/>
            <w:shd w:fill="CCEEFF" w:val="clear"/>
            <w:vAlign w:val="bottom"/>
          </w:tcPr>
          <w:p>
            <w:pPr>
              <w:pStyle w:val="TableContents"/>
              <w:bidi w:val="0"/>
              <w:spacing w:before="0" w:after="283"/>
              <w:jc w:val="left"/>
              <w:rPr/>
            </w:pPr>
            <w:r>
              <w:rPr/>
              <w:t>)% </w:t>
            </w:r>
          </w:p>
        </w:tc>
      </w:tr>
      <w:tr>
        <w:trPr/>
        <w:tc>
          <w:tcPr>
            <w:tcW w:w="376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407" w:type="dxa"/>
            <w:tcBorders/>
            <w:vAlign w:val="center"/>
          </w:tcPr>
          <w:p>
            <w:pPr>
              <w:pStyle w:val="TableContents"/>
              <w:bidi w:val="0"/>
              <w:spacing w:before="0" w:after="283"/>
              <w:jc w:val="left"/>
              <w:rPr/>
            </w:pPr>
            <w:r>
              <w:rPr/>
              <w:t> </w:t>
            </w:r>
          </w:p>
        </w:tc>
      </w:tr>
      <w:tr>
        <w:trPr/>
        <w:tc>
          <w:tcPr>
            <w:tcW w:w="37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Net Loss Attributable to Teamshares Inc.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10" w:type="dxa"/>
            <w:tcBorders/>
            <w:vAlign w:val="bottom"/>
          </w:tcPr>
          <w:p>
            <w:pPr>
              <w:pStyle w:val="TableContents"/>
              <w:bidi w:val="0"/>
              <w:spacing w:before="0" w:after="283"/>
              <w:jc w:val="right"/>
              <w:rPr>
                <w:b/>
              </w:rPr>
            </w:pPr>
            <w:r>
              <w:rPr>
                <w:b/>
              </w:rPr>
              <w:t>(22,877</w:t>
            </w:r>
          </w:p>
        </w:tc>
        <w:tc>
          <w:tcPr>
            <w:tcW w:w="155" w:type="dxa"/>
            <w:tcBorders/>
            <w:vAlign w:val="bottom"/>
          </w:tcPr>
          <w:p>
            <w:pPr>
              <w:pStyle w:val="TableContents"/>
              <w:bidi w:val="0"/>
              <w:spacing w:before="0" w:after="283"/>
              <w:jc w:val="left"/>
              <w:rPr>
                <w:b/>
              </w:rPr>
            </w:pPr>
            <w:r>
              <w:rPr>
                <w:b/>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10" w:type="dxa"/>
            <w:tcBorders/>
            <w:vAlign w:val="bottom"/>
          </w:tcPr>
          <w:p>
            <w:pPr>
              <w:pStyle w:val="TableContents"/>
              <w:bidi w:val="0"/>
              <w:spacing w:before="0" w:after="283"/>
              <w:jc w:val="right"/>
              <w:rPr>
                <w:b/>
              </w:rPr>
            </w:pPr>
            <w:r>
              <w:rPr>
                <w:b/>
              </w:rPr>
              <w:t>(21,330</w:t>
            </w:r>
          </w:p>
        </w:tc>
        <w:tc>
          <w:tcPr>
            <w:tcW w:w="155" w:type="dxa"/>
            <w:tcBorders/>
            <w:vAlign w:val="bottom"/>
          </w:tcPr>
          <w:p>
            <w:pPr>
              <w:pStyle w:val="TableContents"/>
              <w:bidi w:val="0"/>
              <w:spacing w:before="0" w:after="283"/>
              <w:jc w:val="left"/>
              <w:rPr>
                <w:b/>
              </w:rPr>
            </w:pPr>
            <w:r>
              <w:rPr>
                <w:b/>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831" w:type="dxa"/>
            <w:tcBorders/>
            <w:vAlign w:val="bottom"/>
          </w:tcPr>
          <w:p>
            <w:pPr>
              <w:pStyle w:val="TableContents"/>
              <w:bidi w:val="0"/>
              <w:spacing w:before="0" w:after="283"/>
              <w:jc w:val="right"/>
              <w:rPr>
                <w:b/>
              </w:rPr>
            </w:pPr>
            <w:r>
              <w:rPr>
                <w:b/>
              </w:rPr>
              <w:t>(1,547</w:t>
            </w:r>
          </w:p>
        </w:tc>
        <w:tc>
          <w:tcPr>
            <w:tcW w:w="155" w:type="dxa"/>
            <w:tcBorders/>
            <w:vAlign w:val="bottom"/>
          </w:tcPr>
          <w:p>
            <w:pPr>
              <w:pStyle w:val="TableContents"/>
              <w:bidi w:val="0"/>
              <w:spacing w:before="0" w:after="283"/>
              <w:jc w:val="left"/>
              <w:rPr>
                <w:b/>
              </w:rPr>
            </w:pPr>
            <w:r>
              <w:rPr>
                <w:b/>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b/>
              </w:rPr>
            </w:pPr>
            <w:r>
              <w:rPr>
                <w:b/>
              </w:rPr>
              <w:t>7.3</w:t>
            </w:r>
          </w:p>
        </w:tc>
        <w:tc>
          <w:tcPr>
            <w:tcW w:w="407" w:type="dxa"/>
            <w:tcBorders/>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Total revenue increased $18.5 million to $121.0 million for the three months ended March 31, 2026 from $102.5 million for the three months ended March 31, 2025, primarily driven by acquisitions. Revenue increased $16.3 million due to businesses acquired in 2025 contributing a full quarter of revenue in the three months ended March 31, 2026 and certain acquired operating subsidiaries only contributing a partial period of revenue in the three months ended March 31, 2025. Additionally, revenue increased $0.7 million due to one business acquired in the first three months of 2026. Additionally, organic changes in revenue resulted in an increase of $4.9 million primarily driven by higher sales volumes across certain consumer products and initiatives that resulted in an expanded customer base. Revenues in the first quarter of each fiscal year have historically been lower than other fiscal quarters due to seasonal dynamics that result in lighter consumer spending and operational constraints due to winter weather.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revenue was partially offset by the impact of operating subsidiaries that have ceased operations. During the three months ended March 31, 2025, $3.4 million of revenue was contributed by operating subsidiaries that have ceased operations, including $3.2 million attributable to the ten operating subsidiaries that ceased operations during the year ended December 31, 2025 and $0.2 million attributable to one operating subsidiary that ceased operations during the three months ended March 31, 2026. These operating subsidiaries ceased operations based on the Company’s assessment of their business performance and outlook.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Total cost of revenue increased $9.5 million to $73.1 million for the three months ended March 31, 2026 from $63.6 million for the three months ended March 31, 2025. The overall increase in cost of revenue was primarily driven by $9.6 million from acquisitions and an increase of $2.6 million from organic changes, partially offset by a decrease of $2.7 million from operating subsidiaries that ceased operations. Gross margin increased by 2% to 40% for the three months ended March 31, 2026 from 38% for the three months ended March 31, 2025. The increase in gross margin was primarily driven by acquisitions, which included businesses that have historically reported higher gross margins relative to existing operating subsidiaries. Businesses acquired in 2026 and 2025 that did not have a full comparative period in prior year, collectively had average gross margins of 43% for the three months ended March 31, 2026. Additionally, gross margins benefited from ceasing operations at certain operating subsidiaries with lower gross margins relative to existing operating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Total operating expenses increased $3.9 million to $55.3 million for the three months ended March 31, 2026 from $51.5 million for the three months ended March 31, 2025. Total operating expenses includes depreciation, amortization, selling, general and administrative expenses, goodwill impairment and loss (gain) on disposition of assets.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expenses increased $7.2 million to $53.0 million for the three months ended March 31, 2026 from $45.8 million for the three months ended March 31, 2025. The increase in selling, general and administrative expenses was driven by an increase of $5.1 million related to our operating subsidiaries. This included an increase of $5.3 million due to acquisitions and an increase of $1.3 million commensurate with the organic revenue growth rate at our existing operating subsidiaries that was partially offset by a decrease of $1.5 million due to operating subsidiaries that ceased operations. Selling, general and administrative expenses from our operating subsidiaries as a percentage of revenue decreased 1% to 31% for the three months ended March 31, 2026 from 32% for the three months ended March 31, 2025. Additionally, costs related to real estate and other financial products increased by $0.7 million, primarily driven by the divestiture of real estate during 2025.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selling, general and administrative expenses was also driven by an increase of $0.9 million in corporate costs (excluding transaction costs and costs directly related to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primarily driven by increased accounting and legal costs associated with public company readiness and compliance activities in 2026. Selling, general and administrative expenses from corporate costs (excluding transaction costs and costs directly associated with the Business Combination) as a percentage of revenue slightly decreased for the three months ended March 31, 2026 compared to the three months ended March 31, 2025. Transactions cost directly attributable to acquisitions were immaterial and $1.2 million for the three months ended March 31, 2026 and 2025, respectively. Transaction costs are primarily related to legal, consulting, and contingent transaction fees. Costs related to the Business Combination were $1.7 million for the three months ended March 31, 2026, which primarily related to legal and consulting fees related to the merger agreement and regulatory matters. </w:t>
      </w:r>
    </w:p>
    <w:p>
      <w:pPr>
        <w:pStyle w:val="TextBody"/>
        <w:bidi w:val="0"/>
        <w:spacing w:before="240" w:after="0"/>
        <w:jc w:val="left"/>
        <w:rPr>
          <w:rFonts w:ascii="Times New Roman" w:hAnsi="Times New Roman"/>
          <w:sz w:val="20"/>
        </w:rPr>
      </w:pPr>
      <w:r>
        <w:rPr>
          <w:rFonts w:ascii="Times New Roman" w:hAnsi="Times New Roman"/>
          <w:sz w:val="20"/>
        </w:rPr>
        <w:t xml:space="preserve">There was no goodwill impairment recorded during the three months ended March 31, 2026. There was $3.0 million of goodwill impairment recorded during the three months ended March 31, 2025. The goodwill impairment recorded in the three months ended March 31, 2025 was primarily attributable to operating subsidiaries that ceased operations during the period, reflecting management’s decision to exit certain businesses whose performance and outlook no longer aligned with the Company’s underwriting expectations or long-term return thresholds. The Company periodically evaluates the performance and long-term prospects of its operating subsidiaries as part of its ongoing portfolio management and capital allocation process. Subsidiaries may be impaired when operating performance falls below initial underwriting expectations or when management determines that capital and management resources can be more effectively deployed toward higher-return opportunities. The subsidiaries impaired during the period primarily include certain smaller, subscale operations that no longer meet the Company’s underwriting criteria.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Non-Operating Expenses (Income) </w:t>
      </w:r>
    </w:p>
    <w:p>
      <w:pPr>
        <w:pStyle w:val="TextBody"/>
        <w:bidi w:val="0"/>
        <w:spacing w:before="120" w:after="0"/>
        <w:jc w:val="left"/>
        <w:rPr>
          <w:rFonts w:ascii="Times New Roman" w:hAnsi="Times New Roman"/>
          <w:sz w:val="20"/>
        </w:rPr>
      </w:pPr>
      <w:r>
        <w:rPr>
          <w:rFonts w:ascii="Times New Roman" w:hAnsi="Times New Roman"/>
          <w:sz w:val="20"/>
        </w:rPr>
        <w:t xml:space="preserve">Total non-operating expenses increased $6.4 million to $15.0 million for the three months ended March 31, 2026 from $8.7 million for the three months ended March 31, 2025. Non-operating expenses include interest expense, net, change in fair value of warrant liability, change in fair value of contingent consideration and other non-operating expenses (income). </w:t>
      </w:r>
    </w:p>
    <w:p>
      <w:pPr>
        <w:pStyle w:val="TextBody"/>
        <w:bidi w:val="0"/>
        <w:spacing w:before="240" w:after="0"/>
        <w:jc w:val="left"/>
        <w:rPr>
          <w:rFonts w:ascii="Times New Roman" w:hAnsi="Times New Roman"/>
          <w:sz w:val="20"/>
        </w:rPr>
      </w:pPr>
      <w:r>
        <w:rPr>
          <w:rFonts w:ascii="Times New Roman" w:hAnsi="Times New Roman"/>
          <w:sz w:val="20"/>
        </w:rPr>
        <w:t xml:space="preserve">Interest expense, net increased $8.1 million to $15.4 million for the three months ended March 31, 2026 from $7.3 million for the three months ended March 31, 2025. The increase in interest expense, net is primarily attributable to the $6.9 million increase in amortization of deferred financing costs and discounts in the three months ended March 31, 2026 as compared to the three months ended March 31, 2025. This predominantly consisted of amortization of deferred financing costs and discounts related to the HBC Credit Facility of $6.5 million during the three months ended March 31, 2026, which was a short-term debt instrument to provide acquisition financing prior to the close of the Business Combination. As of March 31, 2026, there are no remaining unamortized discounts or debt issuance costs related to the HBC Credit Facility. See further information regarding the HBC Credit Facility in Note 9, “Debt” of our interim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interest expense, net was also partially attributable to the $1.6 million increase in interest expense excluding amortization of deferred financing costs and discounts to $8.5 million for the three months ended March 31, 2026 from $6.9 million for the three months ended March 31, 2025 due to higher average borrowings incurred to finance acquisitions. </w:t>
      </w:r>
    </w:p>
    <w:p>
      <w:pPr>
        <w:pStyle w:val="TextBody"/>
        <w:bidi w:val="0"/>
        <w:spacing w:before="240" w:after="0"/>
        <w:jc w:val="left"/>
        <w:rPr>
          <w:rFonts w:ascii="Times New Roman" w:hAnsi="Times New Roman"/>
          <w:sz w:val="20"/>
        </w:rPr>
      </w:pPr>
      <w:r>
        <w:rPr>
          <w:rFonts w:ascii="Times New Roman" w:hAnsi="Times New Roman"/>
          <w:sz w:val="20"/>
        </w:rPr>
        <w:t xml:space="preserve">Other non-operating expenses (income), net decreased $2.1 million to an income of $0.3 million for the three months ended March 31, 2026 from expense of $1.9 million for the three months ended March 31, 2025. The decrease in other non-operating expenses is primarily attributable to settlement of performance and payment bonds issued by an operating subsidiary that ceased operations during the three months ended March 31, 2025. The Company did not incur a similar expense in the three months ended March 31,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increased $0.2 million to $0.4 million for the three months ended March 31, 2026 from $0.2 million for the three months ended March 31, 2025. The increase in income tax expense is primarily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attributable to an increase in foreign tax expense related to international acquisitions and an increase in domestic deferred tax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Year Ended December 31, 2025 compared to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consolidated results of operations of Teamshares Inc. and its subsidiaries for the periods presented. All intercompany balances and transactions have been eliminated in consolidation.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89"/>
        <w:gridCol w:w="182"/>
        <w:gridCol w:w="140"/>
        <w:gridCol w:w="805"/>
        <w:gridCol w:w="155"/>
        <w:gridCol w:w="182"/>
        <w:gridCol w:w="140"/>
        <w:gridCol w:w="805"/>
        <w:gridCol w:w="155"/>
        <w:gridCol w:w="182"/>
        <w:gridCol w:w="169"/>
        <w:gridCol w:w="826"/>
        <w:gridCol w:w="155"/>
        <w:gridCol w:w="181"/>
        <w:gridCol w:w="96"/>
        <w:gridCol w:w="1022"/>
        <w:gridCol w:w="404"/>
      </w:tblGrid>
      <w:tr>
        <w:trPr/>
        <w:tc>
          <w:tcPr>
            <w:tcW w:w="3789"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78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22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18" w:type="dxa"/>
            <w:gridSpan w:val="2"/>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r>
      <w:tr>
        <w:trPr/>
        <w:tc>
          <w:tcPr>
            <w:tcW w:w="3789" w:type="dxa"/>
            <w:tcBorders/>
            <w:vAlign w:val="bottom"/>
          </w:tcPr>
          <w:p>
            <w:pPr>
              <w:pStyle w:val="TableContents"/>
              <w:bidi w:val="0"/>
              <w:spacing w:before="0" w:after="283"/>
              <w:jc w:val="left"/>
              <w:rPr>
                <w:b/>
                <w:i/>
              </w:rPr>
            </w:pPr>
            <w:r>
              <w:rPr>
                <w:b/>
                <w:i/>
              </w:rPr>
              <w:t>(in thousands, except for percentages)</w:t>
            </w:r>
          </w:p>
        </w:tc>
        <w:tc>
          <w:tcPr>
            <w:tcW w:w="182"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404" w:type="dxa"/>
            <w:tcBorders/>
            <w:vAlign w:val="bottom"/>
          </w:tcPr>
          <w:p>
            <w:pPr>
              <w:pStyle w:val="TableContents"/>
              <w:bidi w:val="0"/>
              <w:spacing w:before="0" w:after="283"/>
              <w:jc w:val="left"/>
              <w:rPr/>
            </w:pPr>
            <w:r>
              <w:rPr/>
              <w:t> </w:t>
            </w:r>
          </w:p>
        </w:tc>
      </w:tr>
      <w:tr>
        <w:trPr/>
        <w:tc>
          <w:tcPr>
            <w:tcW w:w="37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5" w:type="dxa"/>
            <w:tcBorders/>
            <w:shd w:fill="CCEEFF" w:val="clear"/>
            <w:vAlign w:val="bottom"/>
          </w:tcPr>
          <w:p>
            <w:pPr>
              <w:pStyle w:val="TableContents"/>
              <w:bidi w:val="0"/>
              <w:spacing w:before="0" w:after="283"/>
              <w:jc w:val="right"/>
              <w:rPr>
                <w:b/>
              </w:rPr>
            </w:pPr>
            <w:r>
              <w:rPr>
                <w:b/>
              </w:rPr>
              <w:t>471,567</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5" w:type="dxa"/>
            <w:tcBorders/>
            <w:shd w:fill="CCEEFF" w:val="clear"/>
            <w:vAlign w:val="bottom"/>
          </w:tcPr>
          <w:p>
            <w:pPr>
              <w:pStyle w:val="TableContents"/>
              <w:bidi w:val="0"/>
              <w:spacing w:before="0" w:after="283"/>
              <w:jc w:val="right"/>
              <w:rPr>
                <w:b/>
              </w:rPr>
            </w:pPr>
            <w:r>
              <w:rPr>
                <w:b/>
              </w:rPr>
              <w:t>398,641</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826" w:type="dxa"/>
            <w:tcBorders/>
            <w:shd w:fill="CCEEFF" w:val="clear"/>
            <w:vAlign w:val="bottom"/>
          </w:tcPr>
          <w:p>
            <w:pPr>
              <w:pStyle w:val="TableContents"/>
              <w:bidi w:val="0"/>
              <w:spacing w:before="0" w:after="283"/>
              <w:jc w:val="right"/>
              <w:rPr>
                <w:b/>
              </w:rPr>
            </w:pPr>
            <w:r>
              <w:rPr>
                <w:b/>
              </w:rPr>
              <w:t>72,926</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b/>
              </w:rPr>
            </w:pPr>
            <w:r>
              <w:rPr>
                <w:b/>
              </w:rPr>
              <w:t>18.3</w:t>
            </w:r>
          </w:p>
        </w:tc>
        <w:tc>
          <w:tcPr>
            <w:tcW w:w="404" w:type="dxa"/>
            <w:tcBorders/>
            <w:shd w:fill="CCEEFF" w:val="clear"/>
            <w:vAlign w:val="bottom"/>
          </w:tcPr>
          <w:p>
            <w:pPr>
              <w:pStyle w:val="TableContents"/>
              <w:bidi w:val="0"/>
              <w:spacing w:before="0" w:after="283"/>
              <w:jc w:val="left"/>
              <w:rPr>
                <w:b/>
              </w:rPr>
            </w:pPr>
            <w:r>
              <w:rPr>
                <w:b/>
              </w:rPr>
              <w:t>% </w:t>
            </w:r>
          </w:p>
        </w:tc>
      </w:tr>
      <w:tr>
        <w:trPr/>
        <w:tc>
          <w:tcPr>
            <w:tcW w:w="3789"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288,467</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259,321</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29,146</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11.2</w:t>
            </w:r>
          </w:p>
        </w:tc>
        <w:tc>
          <w:tcPr>
            <w:tcW w:w="404" w:type="dxa"/>
            <w:tcBorders/>
            <w:vAlign w:val="bottom"/>
          </w:tcPr>
          <w:p>
            <w:pPr>
              <w:pStyle w:val="TableContents"/>
              <w:bidi w:val="0"/>
              <w:spacing w:before="0" w:after="283"/>
              <w:jc w:val="left"/>
              <w:rPr/>
            </w:pPr>
            <w:r>
              <w:rPr/>
              <w:t>% </w:t>
            </w:r>
          </w:p>
        </w:tc>
      </w:tr>
      <w:tr>
        <w:trPr/>
        <w:tc>
          <w:tcPr>
            <w:tcW w:w="378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404" w:type="dxa"/>
            <w:tcBorders/>
            <w:vAlign w:val="center"/>
          </w:tcPr>
          <w:p>
            <w:pPr>
              <w:pStyle w:val="TableContents"/>
              <w:bidi w:val="0"/>
              <w:spacing w:before="0" w:after="283"/>
              <w:jc w:val="left"/>
              <w:rPr/>
            </w:pPr>
            <w:r>
              <w:rPr/>
              <w:t> </w:t>
            </w:r>
          </w:p>
        </w:tc>
      </w:tr>
      <w:tr>
        <w:trPr/>
        <w:tc>
          <w:tcPr>
            <w:tcW w:w="37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b/>
              </w:rPr>
            </w:pPr>
            <w:r>
              <w:rPr>
                <w:b/>
              </w:rPr>
              <w:t>183,100</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b/>
              </w:rPr>
            </w:pPr>
            <w:r>
              <w:rPr>
                <w:b/>
              </w:rPr>
              <w:t>139,320</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43,780</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b/>
              </w:rPr>
            </w:pPr>
            <w:r>
              <w:rPr>
                <w:b/>
              </w:rPr>
              <w:t>31.4</w:t>
            </w:r>
          </w:p>
        </w:tc>
        <w:tc>
          <w:tcPr>
            <w:tcW w:w="404" w:type="dxa"/>
            <w:tcBorders/>
            <w:shd w:fill="CCEEFF" w:val="clear"/>
            <w:vAlign w:val="bottom"/>
          </w:tcPr>
          <w:p>
            <w:pPr>
              <w:pStyle w:val="TableContents"/>
              <w:bidi w:val="0"/>
              <w:spacing w:before="0" w:after="283"/>
              <w:jc w:val="left"/>
              <w:rPr>
                <w:b/>
              </w:rPr>
            </w:pPr>
            <w:r>
              <w:rPr>
                <w:b/>
              </w:rPr>
              <w:t>% </w:t>
            </w:r>
          </w:p>
        </w:tc>
      </w:tr>
      <w:tr>
        <w:trPr/>
        <w:tc>
          <w:tcPr>
            <w:tcW w:w="3789"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 (Income)</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022"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r>
      <w:tr>
        <w:trPr/>
        <w:tc>
          <w:tcPr>
            <w:tcW w:w="3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3,086</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3,747</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(661</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(17.6</w:t>
            </w:r>
          </w:p>
        </w:tc>
        <w:tc>
          <w:tcPr>
            <w:tcW w:w="404" w:type="dxa"/>
            <w:tcBorders/>
            <w:shd w:fill="CCEEFF" w:val="clear"/>
            <w:vAlign w:val="bottom"/>
          </w:tcPr>
          <w:p>
            <w:pPr>
              <w:pStyle w:val="TableContents"/>
              <w:bidi w:val="0"/>
              <w:spacing w:before="0" w:after="283"/>
              <w:jc w:val="left"/>
              <w:rPr/>
            </w:pPr>
            <w:r>
              <w:rPr/>
              <w:t>)% </w:t>
            </w:r>
          </w:p>
        </w:tc>
      </w:tr>
      <w:tr>
        <w:trPr/>
        <w:tc>
          <w:tcPr>
            <w:tcW w:w="3789"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5,907</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5,635</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272</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4.8</w:t>
            </w:r>
          </w:p>
        </w:tc>
        <w:tc>
          <w:tcPr>
            <w:tcW w:w="404" w:type="dxa"/>
            <w:tcBorders/>
            <w:vAlign w:val="bottom"/>
          </w:tcPr>
          <w:p>
            <w:pPr>
              <w:pStyle w:val="TableContents"/>
              <w:bidi w:val="0"/>
              <w:spacing w:before="0" w:after="283"/>
              <w:jc w:val="left"/>
              <w:rPr/>
            </w:pPr>
            <w:r>
              <w:rPr/>
              <w:t>% </w:t>
            </w:r>
          </w:p>
        </w:tc>
      </w:tr>
      <w:tr>
        <w:trPr/>
        <w:tc>
          <w:tcPr>
            <w:tcW w:w="3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191,421</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167,632</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23,789</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14.2</w:t>
            </w:r>
          </w:p>
        </w:tc>
        <w:tc>
          <w:tcPr>
            <w:tcW w:w="404" w:type="dxa"/>
            <w:tcBorders/>
            <w:shd w:fill="CCEEFF" w:val="clear"/>
            <w:vAlign w:val="bottom"/>
          </w:tcPr>
          <w:p>
            <w:pPr>
              <w:pStyle w:val="TableContents"/>
              <w:bidi w:val="0"/>
              <w:spacing w:before="0" w:after="283"/>
              <w:jc w:val="left"/>
              <w:rPr/>
            </w:pPr>
            <w:r>
              <w:rPr/>
              <w:t>% </w:t>
            </w:r>
          </w:p>
        </w:tc>
      </w:tr>
      <w:tr>
        <w:trPr/>
        <w:tc>
          <w:tcPr>
            <w:tcW w:w="3789"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19,412</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15,645</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3,767</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24.1</w:t>
            </w:r>
          </w:p>
        </w:tc>
        <w:tc>
          <w:tcPr>
            <w:tcW w:w="404" w:type="dxa"/>
            <w:tcBorders/>
            <w:vAlign w:val="bottom"/>
          </w:tcPr>
          <w:p>
            <w:pPr>
              <w:pStyle w:val="TableContents"/>
              <w:bidi w:val="0"/>
              <w:spacing w:before="0" w:after="283"/>
              <w:jc w:val="left"/>
              <w:rPr/>
            </w:pPr>
            <w:r>
              <w:rPr/>
              <w:t>% </w:t>
            </w:r>
          </w:p>
        </w:tc>
      </w:tr>
      <w:tr>
        <w:trPr/>
        <w:tc>
          <w:tcPr>
            <w:tcW w:w="3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Disposition of Assets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(5,418</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2,661</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(8,079</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(303.6</w:t>
            </w:r>
          </w:p>
        </w:tc>
        <w:tc>
          <w:tcPr>
            <w:tcW w:w="404" w:type="dxa"/>
            <w:tcBorders/>
            <w:shd w:fill="CCEEFF" w:val="clear"/>
            <w:vAlign w:val="bottom"/>
          </w:tcPr>
          <w:p>
            <w:pPr>
              <w:pStyle w:val="TableContents"/>
              <w:bidi w:val="0"/>
              <w:spacing w:before="0" w:after="283"/>
              <w:jc w:val="left"/>
              <w:rPr/>
            </w:pPr>
            <w:r>
              <w:rPr/>
              <w:t>)% </w:t>
            </w:r>
          </w:p>
        </w:tc>
      </w:tr>
      <w:tr>
        <w:trPr/>
        <w:tc>
          <w:tcPr>
            <w:tcW w:w="378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404" w:type="dxa"/>
            <w:tcBorders/>
            <w:vAlign w:val="center"/>
          </w:tcPr>
          <w:p>
            <w:pPr>
              <w:pStyle w:val="TableContents"/>
              <w:bidi w:val="0"/>
              <w:spacing w:before="0" w:after="283"/>
              <w:jc w:val="left"/>
              <w:rPr/>
            </w:pPr>
            <w:r>
              <w:rPr/>
              <w:t> </w:t>
            </w:r>
          </w:p>
        </w:tc>
      </w:tr>
      <w:tr>
        <w:trPr/>
        <w:tc>
          <w:tcPr>
            <w:tcW w:w="378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b/>
              </w:rPr>
            </w:pPr>
            <w:r>
              <w:rPr>
                <w:b/>
              </w:rPr>
              <w:t>214,409</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b/>
              </w:rPr>
            </w:pPr>
            <w:r>
              <w:rPr>
                <w:b/>
              </w:rPr>
              <w:t>195,321</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19,088</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b/>
              </w:rPr>
            </w:pPr>
            <w:r>
              <w:rPr>
                <w:b/>
              </w:rPr>
              <w:t>9.8</w:t>
            </w:r>
          </w:p>
        </w:tc>
        <w:tc>
          <w:tcPr>
            <w:tcW w:w="404" w:type="dxa"/>
            <w:tcBorders/>
            <w:vAlign w:val="bottom"/>
          </w:tcPr>
          <w:p>
            <w:pPr>
              <w:pStyle w:val="TableContents"/>
              <w:bidi w:val="0"/>
              <w:spacing w:before="0" w:after="283"/>
              <w:jc w:val="left"/>
              <w:rPr>
                <w:b/>
              </w:rPr>
            </w:pPr>
            <w:r>
              <w:rPr>
                <w:b/>
              </w:rPr>
              <w:t>% </w:t>
            </w:r>
          </w:p>
        </w:tc>
      </w:tr>
      <w:tr>
        <w:trPr/>
        <w:tc>
          <w:tcPr>
            <w:tcW w:w="37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b/>
              </w:rPr>
            </w:pPr>
            <w:r>
              <w:rPr>
                <w:b/>
              </w:rPr>
              <w:t>(31,308</w:t>
            </w:r>
          </w:p>
        </w:tc>
        <w:tc>
          <w:tcPr>
            <w:tcW w:w="155" w:type="dxa"/>
            <w:tcBorders/>
            <w:shd w:fill="CCEEFF" w:val="clear"/>
            <w:vAlign w:val="bottom"/>
          </w:tcPr>
          <w:p>
            <w:pPr>
              <w:pStyle w:val="TableContents"/>
              <w:bidi w:val="0"/>
              <w:spacing w:before="0" w:after="283"/>
              <w:jc w:val="left"/>
              <w:rPr>
                <w:b/>
              </w:rPr>
            </w:pPr>
            <w:r>
              <w:rPr>
                <w:b/>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b/>
              </w:rPr>
            </w:pPr>
            <w:r>
              <w:rPr>
                <w:b/>
              </w:rPr>
              <w:t>(56,001</w:t>
            </w:r>
          </w:p>
        </w:tc>
        <w:tc>
          <w:tcPr>
            <w:tcW w:w="155" w:type="dxa"/>
            <w:tcBorders/>
            <w:shd w:fill="CCEEFF" w:val="clear"/>
            <w:vAlign w:val="bottom"/>
          </w:tcPr>
          <w:p>
            <w:pPr>
              <w:pStyle w:val="TableContents"/>
              <w:bidi w:val="0"/>
              <w:spacing w:before="0" w:after="283"/>
              <w:jc w:val="left"/>
              <w:rPr>
                <w:b/>
              </w:rPr>
            </w:pPr>
            <w:r>
              <w:rPr>
                <w:b/>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24,693</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b/>
              </w:rPr>
            </w:pPr>
            <w:r>
              <w:rPr>
                <w:b/>
              </w:rPr>
              <w:t>44.1</w:t>
            </w:r>
          </w:p>
        </w:tc>
        <w:tc>
          <w:tcPr>
            <w:tcW w:w="404" w:type="dxa"/>
            <w:tcBorders/>
            <w:shd w:fill="CCEEFF" w:val="clear"/>
            <w:vAlign w:val="bottom"/>
          </w:tcPr>
          <w:p>
            <w:pPr>
              <w:pStyle w:val="TableContents"/>
              <w:bidi w:val="0"/>
              <w:spacing w:before="0" w:after="283"/>
              <w:jc w:val="left"/>
              <w:rPr>
                <w:b/>
              </w:rPr>
            </w:pPr>
            <w:r>
              <w:rPr>
                <w:b/>
              </w:rPr>
              <w:t>% </w:t>
            </w:r>
          </w:p>
        </w:tc>
      </w:tr>
      <w:tr>
        <w:trPr/>
        <w:tc>
          <w:tcPr>
            <w:tcW w:w="3789" w:type="dxa"/>
            <w:tcBorders/>
          </w:tcPr>
          <w:p>
            <w:pPr>
              <w:pStyle w:val="TableContents"/>
              <w:bidi w:val="0"/>
              <w:spacing w:before="0" w:after="0"/>
              <w:jc w:val="left"/>
              <w:rPr>
                <w:rFonts w:ascii="Times New Roman" w:hAnsi="Times New Roman"/>
                <w:sz w:val="20"/>
              </w:rPr>
            </w:pPr>
            <w:r>
              <w:rPr>
                <w:rFonts w:ascii="Times New Roman" w:hAnsi="Times New Roman"/>
                <w:sz w:val="20"/>
              </w:rPr>
              <w:t>Non-Operating Expenses (Income)</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022"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r>
      <w:tr>
        <w:trPr/>
        <w:tc>
          <w:tcPr>
            <w:tcW w:w="3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31,191</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27,766</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3,425</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12.3</w:t>
            </w:r>
          </w:p>
        </w:tc>
        <w:tc>
          <w:tcPr>
            <w:tcW w:w="404" w:type="dxa"/>
            <w:tcBorders/>
            <w:shd w:fill="CCEEFF" w:val="clear"/>
            <w:vAlign w:val="bottom"/>
          </w:tcPr>
          <w:p>
            <w:pPr>
              <w:pStyle w:val="TableContents"/>
              <w:bidi w:val="0"/>
              <w:spacing w:before="0" w:after="283"/>
              <w:jc w:val="left"/>
              <w:rPr/>
            </w:pPr>
            <w:r>
              <w:rPr/>
              <w:t>% </w:t>
            </w:r>
          </w:p>
        </w:tc>
      </w:tr>
      <w:tr>
        <w:trPr/>
        <w:tc>
          <w:tcPr>
            <w:tcW w:w="3789"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4,642</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4,642</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N/M</w:t>
            </w:r>
          </w:p>
        </w:tc>
        <w:tc>
          <w:tcPr>
            <w:tcW w:w="404" w:type="dxa"/>
            <w:tcBorders/>
            <w:vAlign w:val="bottom"/>
          </w:tcPr>
          <w:p>
            <w:pPr>
              <w:pStyle w:val="TableContents"/>
              <w:bidi w:val="0"/>
              <w:spacing w:before="0" w:after="283"/>
              <w:jc w:val="left"/>
              <w:rPr/>
            </w:pPr>
            <w:r>
              <w:rPr/>
              <w:t> </w:t>
            </w:r>
          </w:p>
        </w:tc>
      </w:tr>
      <w:tr>
        <w:trPr/>
        <w:tc>
          <w:tcPr>
            <w:tcW w:w="3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(3,956</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(702</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(3,254</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463.5</w:t>
            </w:r>
          </w:p>
        </w:tc>
        <w:tc>
          <w:tcPr>
            <w:tcW w:w="404" w:type="dxa"/>
            <w:tcBorders/>
            <w:shd w:fill="CCEEFF" w:val="clear"/>
            <w:vAlign w:val="bottom"/>
          </w:tcPr>
          <w:p>
            <w:pPr>
              <w:pStyle w:val="TableContents"/>
              <w:bidi w:val="0"/>
              <w:spacing w:before="0" w:after="283"/>
              <w:jc w:val="left"/>
              <w:rPr/>
            </w:pPr>
            <w:r>
              <w:rPr/>
              <w:t>% </w:t>
            </w:r>
          </w:p>
        </w:tc>
      </w:tr>
      <w:tr>
        <w:trPr/>
        <w:tc>
          <w:tcPr>
            <w:tcW w:w="3789"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1,326</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91</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1,235</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N/M</w:t>
            </w:r>
          </w:p>
        </w:tc>
        <w:tc>
          <w:tcPr>
            <w:tcW w:w="404" w:type="dxa"/>
            <w:tcBorders/>
            <w:vAlign w:val="bottom"/>
          </w:tcPr>
          <w:p>
            <w:pPr>
              <w:pStyle w:val="TableContents"/>
              <w:bidi w:val="0"/>
              <w:spacing w:before="0" w:after="283"/>
              <w:jc w:val="left"/>
              <w:rPr/>
            </w:pPr>
            <w:r>
              <w:rPr/>
              <w:t> </w:t>
            </w:r>
          </w:p>
        </w:tc>
      </w:tr>
      <w:tr>
        <w:trPr/>
        <w:tc>
          <w:tcPr>
            <w:tcW w:w="37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Expense (Income), Net</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1,284</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(199</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1,483</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(745.2</w:t>
            </w:r>
          </w:p>
        </w:tc>
        <w:tc>
          <w:tcPr>
            <w:tcW w:w="404" w:type="dxa"/>
            <w:tcBorders/>
            <w:shd w:fill="CCEEFF" w:val="clear"/>
            <w:vAlign w:val="bottom"/>
          </w:tcPr>
          <w:p>
            <w:pPr>
              <w:pStyle w:val="TableContents"/>
              <w:bidi w:val="0"/>
              <w:spacing w:before="0" w:after="283"/>
              <w:jc w:val="left"/>
              <w:rPr/>
            </w:pPr>
            <w:r>
              <w:rPr/>
              <w:t>)% </w:t>
            </w:r>
          </w:p>
        </w:tc>
      </w:tr>
      <w:tr>
        <w:trPr/>
        <w:tc>
          <w:tcPr>
            <w:tcW w:w="378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404" w:type="dxa"/>
            <w:tcBorders/>
            <w:vAlign w:val="center"/>
          </w:tcPr>
          <w:p>
            <w:pPr>
              <w:pStyle w:val="TableContents"/>
              <w:bidi w:val="0"/>
              <w:spacing w:before="0" w:after="283"/>
              <w:jc w:val="left"/>
              <w:rPr/>
            </w:pPr>
            <w:r>
              <w:rPr/>
              <w:t> </w:t>
            </w:r>
          </w:p>
        </w:tc>
      </w:tr>
      <w:tr>
        <w:trPr/>
        <w:tc>
          <w:tcPr>
            <w:tcW w:w="378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Non-Operating Expenses</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b/>
              </w:rPr>
            </w:pPr>
            <w:r>
              <w:rPr>
                <w:b/>
              </w:rPr>
              <w:t>34,487</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b/>
              </w:rPr>
            </w:pPr>
            <w:r>
              <w:rPr>
                <w:b/>
              </w:rPr>
              <w:t>26,955</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7,532</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b/>
              </w:rPr>
            </w:pPr>
            <w:r>
              <w:rPr>
                <w:b/>
              </w:rPr>
              <w:t>27.9</w:t>
            </w:r>
          </w:p>
        </w:tc>
        <w:tc>
          <w:tcPr>
            <w:tcW w:w="404" w:type="dxa"/>
            <w:tcBorders/>
            <w:vAlign w:val="bottom"/>
          </w:tcPr>
          <w:p>
            <w:pPr>
              <w:pStyle w:val="TableContents"/>
              <w:bidi w:val="0"/>
              <w:spacing w:before="0" w:after="283"/>
              <w:jc w:val="left"/>
              <w:rPr>
                <w:b/>
              </w:rPr>
            </w:pPr>
            <w:r>
              <w:rPr>
                <w:b/>
              </w:rPr>
              <w:t>% </w:t>
            </w:r>
          </w:p>
        </w:tc>
      </w:tr>
      <w:tr>
        <w:trPr/>
        <w:tc>
          <w:tcPr>
            <w:tcW w:w="37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b/>
              </w:rPr>
            </w:pPr>
            <w:r>
              <w:rPr>
                <w:b/>
              </w:rPr>
              <w:t>(65,795</w:t>
            </w:r>
          </w:p>
        </w:tc>
        <w:tc>
          <w:tcPr>
            <w:tcW w:w="155" w:type="dxa"/>
            <w:tcBorders/>
            <w:shd w:fill="CCEEFF" w:val="clear"/>
            <w:vAlign w:val="bottom"/>
          </w:tcPr>
          <w:p>
            <w:pPr>
              <w:pStyle w:val="TableContents"/>
              <w:bidi w:val="0"/>
              <w:spacing w:before="0" w:after="283"/>
              <w:jc w:val="left"/>
              <w:rPr>
                <w:b/>
              </w:rPr>
            </w:pPr>
            <w:r>
              <w:rPr>
                <w:b/>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b/>
              </w:rPr>
            </w:pPr>
            <w:r>
              <w:rPr>
                <w:b/>
              </w:rPr>
              <w:t>(82,957</w:t>
            </w:r>
          </w:p>
        </w:tc>
        <w:tc>
          <w:tcPr>
            <w:tcW w:w="155" w:type="dxa"/>
            <w:tcBorders/>
            <w:shd w:fill="CCEEFF" w:val="clear"/>
            <w:vAlign w:val="bottom"/>
          </w:tcPr>
          <w:p>
            <w:pPr>
              <w:pStyle w:val="TableContents"/>
              <w:bidi w:val="0"/>
              <w:spacing w:before="0" w:after="283"/>
              <w:jc w:val="left"/>
              <w:rPr>
                <w:b/>
              </w:rPr>
            </w:pPr>
            <w:r>
              <w:rPr>
                <w:b/>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17,162</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b/>
              </w:rPr>
            </w:pPr>
            <w:r>
              <w:rPr>
                <w:b/>
              </w:rPr>
              <w:t>(20.7</w:t>
            </w:r>
          </w:p>
        </w:tc>
        <w:tc>
          <w:tcPr>
            <w:tcW w:w="404" w:type="dxa"/>
            <w:tcBorders/>
            <w:shd w:fill="CCEEFF" w:val="clear"/>
            <w:vAlign w:val="bottom"/>
          </w:tcPr>
          <w:p>
            <w:pPr>
              <w:pStyle w:val="TableContents"/>
              <w:bidi w:val="0"/>
              <w:spacing w:before="0" w:after="283"/>
              <w:jc w:val="left"/>
              <w:rPr>
                <w:b/>
              </w:rPr>
            </w:pPr>
            <w:r>
              <w:rPr>
                <w:b/>
              </w:rPr>
              <w:t>)% </w:t>
            </w:r>
          </w:p>
        </w:tc>
      </w:tr>
      <w:tr>
        <w:trPr/>
        <w:tc>
          <w:tcPr>
            <w:tcW w:w="378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562</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890</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(328</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(36.9</w:t>
            </w:r>
          </w:p>
        </w:tc>
        <w:tc>
          <w:tcPr>
            <w:tcW w:w="404" w:type="dxa"/>
            <w:tcBorders/>
            <w:vAlign w:val="bottom"/>
          </w:tcPr>
          <w:p>
            <w:pPr>
              <w:pStyle w:val="TableContents"/>
              <w:bidi w:val="0"/>
              <w:spacing w:before="0" w:after="283"/>
              <w:jc w:val="left"/>
              <w:rPr/>
            </w:pPr>
            <w:r>
              <w:rPr/>
              <w:t>)% </w:t>
            </w:r>
          </w:p>
        </w:tc>
      </w:tr>
      <w:tr>
        <w:trPr/>
        <w:tc>
          <w:tcPr>
            <w:tcW w:w="378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404" w:type="dxa"/>
            <w:tcBorders/>
            <w:vAlign w:val="center"/>
          </w:tcPr>
          <w:p>
            <w:pPr>
              <w:pStyle w:val="TableContents"/>
              <w:bidi w:val="0"/>
              <w:spacing w:before="0" w:after="283"/>
              <w:jc w:val="left"/>
              <w:rPr/>
            </w:pPr>
            <w:r>
              <w:rPr/>
              <w:t> </w:t>
            </w:r>
          </w:p>
        </w:tc>
      </w:tr>
      <w:tr>
        <w:trPr/>
        <w:tc>
          <w:tcPr>
            <w:tcW w:w="37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5" w:type="dxa"/>
            <w:tcBorders/>
            <w:shd w:fill="CCEEFF" w:val="clear"/>
            <w:vAlign w:val="bottom"/>
          </w:tcPr>
          <w:p>
            <w:pPr>
              <w:pStyle w:val="TableContents"/>
              <w:bidi w:val="0"/>
              <w:spacing w:before="0" w:after="283"/>
              <w:jc w:val="right"/>
              <w:rPr>
                <w:b/>
              </w:rPr>
            </w:pPr>
            <w:r>
              <w:rPr>
                <w:b/>
              </w:rPr>
              <w:t>(66,358</w:t>
            </w:r>
          </w:p>
        </w:tc>
        <w:tc>
          <w:tcPr>
            <w:tcW w:w="155" w:type="dxa"/>
            <w:tcBorders/>
            <w:shd w:fill="CCEEFF" w:val="clear"/>
            <w:vAlign w:val="bottom"/>
          </w:tcPr>
          <w:p>
            <w:pPr>
              <w:pStyle w:val="TableContents"/>
              <w:bidi w:val="0"/>
              <w:spacing w:before="0" w:after="283"/>
              <w:jc w:val="left"/>
              <w:rPr>
                <w:b/>
              </w:rPr>
            </w:pPr>
            <w:r>
              <w:rPr>
                <w:b/>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5" w:type="dxa"/>
            <w:tcBorders/>
            <w:shd w:fill="CCEEFF" w:val="clear"/>
            <w:vAlign w:val="bottom"/>
          </w:tcPr>
          <w:p>
            <w:pPr>
              <w:pStyle w:val="TableContents"/>
              <w:bidi w:val="0"/>
              <w:spacing w:before="0" w:after="283"/>
              <w:jc w:val="right"/>
              <w:rPr>
                <w:b/>
              </w:rPr>
            </w:pPr>
            <w:r>
              <w:rPr>
                <w:b/>
              </w:rPr>
              <w:t>(83,846</w:t>
            </w:r>
          </w:p>
        </w:tc>
        <w:tc>
          <w:tcPr>
            <w:tcW w:w="155" w:type="dxa"/>
            <w:tcBorders/>
            <w:shd w:fill="CCEEFF" w:val="clear"/>
            <w:vAlign w:val="bottom"/>
          </w:tcPr>
          <w:p>
            <w:pPr>
              <w:pStyle w:val="TableContents"/>
              <w:bidi w:val="0"/>
              <w:spacing w:before="0" w:after="283"/>
              <w:jc w:val="left"/>
              <w:rPr>
                <w:b/>
              </w:rPr>
            </w:pPr>
            <w:r>
              <w:rPr>
                <w:b/>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17,488</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b/>
              </w:rPr>
            </w:pPr>
            <w:r>
              <w:rPr>
                <w:b/>
              </w:rPr>
              <w:t>(20.9</w:t>
            </w:r>
          </w:p>
        </w:tc>
        <w:tc>
          <w:tcPr>
            <w:tcW w:w="404" w:type="dxa"/>
            <w:tcBorders/>
            <w:shd w:fill="CCEEFF" w:val="clear"/>
            <w:vAlign w:val="bottom"/>
          </w:tcPr>
          <w:p>
            <w:pPr>
              <w:pStyle w:val="TableContents"/>
              <w:bidi w:val="0"/>
              <w:spacing w:before="0" w:after="283"/>
              <w:jc w:val="left"/>
              <w:rPr>
                <w:b/>
              </w:rPr>
            </w:pPr>
            <w:r>
              <w:rPr>
                <w:b/>
              </w:rPr>
              <w:t>)% </w:t>
            </w:r>
          </w:p>
        </w:tc>
      </w:tr>
      <w:tr>
        <w:trPr/>
        <w:tc>
          <w:tcPr>
            <w:tcW w:w="3789"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Interests</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(439</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(549</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110</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(20.0</w:t>
            </w:r>
          </w:p>
        </w:tc>
        <w:tc>
          <w:tcPr>
            <w:tcW w:w="404" w:type="dxa"/>
            <w:tcBorders/>
            <w:vAlign w:val="bottom"/>
          </w:tcPr>
          <w:p>
            <w:pPr>
              <w:pStyle w:val="TableContents"/>
              <w:bidi w:val="0"/>
              <w:spacing w:before="0" w:after="283"/>
              <w:jc w:val="left"/>
              <w:rPr/>
            </w:pPr>
            <w:r>
              <w:rPr/>
              <w:t>)% </w:t>
            </w:r>
          </w:p>
        </w:tc>
      </w:tr>
      <w:tr>
        <w:trPr/>
        <w:tc>
          <w:tcPr>
            <w:tcW w:w="378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404" w:type="dxa"/>
            <w:tcBorders/>
            <w:vAlign w:val="center"/>
          </w:tcPr>
          <w:p>
            <w:pPr>
              <w:pStyle w:val="TableContents"/>
              <w:bidi w:val="0"/>
              <w:spacing w:before="0" w:after="283"/>
              <w:jc w:val="left"/>
              <w:rPr/>
            </w:pPr>
            <w:r>
              <w:rPr/>
              <w:t> </w:t>
            </w:r>
          </w:p>
        </w:tc>
      </w:tr>
      <w:tr>
        <w:trPr/>
        <w:tc>
          <w:tcPr>
            <w:tcW w:w="37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Attributable to Teamshares Inc.</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5" w:type="dxa"/>
            <w:tcBorders/>
            <w:shd w:fill="CCEEFF" w:val="clear"/>
            <w:vAlign w:val="bottom"/>
          </w:tcPr>
          <w:p>
            <w:pPr>
              <w:pStyle w:val="TableContents"/>
              <w:bidi w:val="0"/>
              <w:spacing w:before="0" w:after="283"/>
              <w:jc w:val="right"/>
              <w:rPr>
                <w:b/>
              </w:rPr>
            </w:pPr>
            <w:r>
              <w:rPr>
                <w:b/>
              </w:rPr>
              <w:t>(65,919</w:t>
            </w:r>
          </w:p>
        </w:tc>
        <w:tc>
          <w:tcPr>
            <w:tcW w:w="155" w:type="dxa"/>
            <w:tcBorders/>
            <w:shd w:fill="CCEEFF" w:val="clear"/>
            <w:vAlign w:val="bottom"/>
          </w:tcPr>
          <w:p>
            <w:pPr>
              <w:pStyle w:val="TableContents"/>
              <w:bidi w:val="0"/>
              <w:spacing w:before="0" w:after="283"/>
              <w:jc w:val="left"/>
              <w:rPr>
                <w:b/>
              </w:rPr>
            </w:pPr>
            <w:r>
              <w:rPr>
                <w:b/>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5" w:type="dxa"/>
            <w:tcBorders/>
            <w:shd w:fill="CCEEFF" w:val="clear"/>
            <w:vAlign w:val="bottom"/>
          </w:tcPr>
          <w:p>
            <w:pPr>
              <w:pStyle w:val="TableContents"/>
              <w:bidi w:val="0"/>
              <w:spacing w:before="0" w:after="283"/>
              <w:jc w:val="right"/>
              <w:rPr>
                <w:b/>
              </w:rPr>
            </w:pPr>
            <w:r>
              <w:rPr>
                <w:b/>
              </w:rPr>
              <w:t>(83,297</w:t>
            </w:r>
          </w:p>
        </w:tc>
        <w:tc>
          <w:tcPr>
            <w:tcW w:w="155" w:type="dxa"/>
            <w:tcBorders/>
            <w:shd w:fill="CCEEFF" w:val="clear"/>
            <w:vAlign w:val="bottom"/>
          </w:tcPr>
          <w:p>
            <w:pPr>
              <w:pStyle w:val="TableContents"/>
              <w:bidi w:val="0"/>
              <w:spacing w:before="0" w:after="283"/>
              <w:jc w:val="left"/>
              <w:rPr>
                <w:b/>
              </w:rPr>
            </w:pPr>
            <w:r>
              <w:rPr>
                <w:b/>
              </w:rPr>
              <w:t>) </w:t>
            </w:r>
          </w:p>
        </w:tc>
        <w:tc>
          <w:tcPr>
            <w:tcW w:w="18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17,378</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b/>
              </w:rPr>
            </w:pPr>
            <w:r>
              <w:rPr>
                <w:b/>
              </w:rPr>
              <w:t>(20.9</w:t>
            </w:r>
          </w:p>
        </w:tc>
        <w:tc>
          <w:tcPr>
            <w:tcW w:w="404" w:type="dxa"/>
            <w:tcBorders/>
            <w:shd w:fill="CCEEFF" w:val="clear"/>
            <w:vAlign w:val="bottom"/>
          </w:tcPr>
          <w:p>
            <w:pPr>
              <w:pStyle w:val="TableContents"/>
              <w:bidi w:val="0"/>
              <w:spacing w:before="0" w:after="283"/>
              <w:jc w:val="left"/>
              <w:rPr>
                <w:b/>
              </w:rPr>
            </w:pPr>
            <w:r>
              <w:rPr>
                <w:b/>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Total revenue increased $72.9 million to $471.6 million for the year ended December 31, 2025 from $398.6 million for the year ended December 31, 2024, primarily driven by acquisitions. Revenue increased $22.9 million due to businesses acquired in 2024, contributing a full year of revenue in 2025 and only a partial year of revenue in 2024. Additionally, revenue increased $79.4 million due to businesses acquired in 2025, which includes contributions of $75.4 million from businesses acquired in the first quarter and $4.0 million from businesses acquired late in the fourth quarter.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revenue from acquisitions was partially offset by the impact of operating subsidiaries that have ceased operations. During the year ended December 31, 2024, $23.3 million of revenue was contributed by operating subsidiaries that have ceased operations, including $20.4 million attributable to the ten operating subsidiaries that ceased operations during the year ended December 31, 2025 and $2.9 million attributable to the three operating subsidiaries that ceased operations during the year ended December 31, 2024. The ten operating subsidiaries that ceased operating during the year ended December 31, 2025 contributed $6.6 million of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year ended December 31, 2025. These operating subsidiaries ceased operations based on the Company’s assessment of their business performance and outlook. Additionally, organic changes in revenue resulted in a decrease of $6.0 million primarily driven by macroeconomic conditions that resulted in softening demand for certain business products and services as well as strategic initiatives to improve profitability that resulted in certain operating subsidiaries discontinuing less profitable lines of business and exiting unprofitable locations. The macroeconomic conditions included prolonged higher interest rates relative to previous periods that contributed to lower levels of residential new construction and renovation activity, which reduced demand for certain building-related products and services. In addition, cautious consumer and business spending patterns contributed to softer demand for larger discretionary replacement and installation projects, with customers increasingly prioritizing reduced spending on maintenance and repair activity.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Total cost of revenue increased $29.2 million to $288.5 million for the year ended December 31, 2025 from $259.3 million for the year ended December 31, 2024. The overall increase in cost of revenue was primarily driven by $52.6 million from acquisitions, partially offset by a decrease of $21.2 million from operating subsidiaries that ceased operations and a decrease of $2.2 million from organic changes. Gross margin increased by 5% to 39% for the year ended December 31, 2025 from 34% for the year ended December 31, 2024. The increase in gross margin was primarily driven by acquisitions, which included businesses that have historically reported higher gross margins relative to existing operating subsidiaries. Businesses acquired in 2025 and 2024 collectively had average gross margins of 49% for the year ended December 31, 2025. Additionally, gross margins benefited from ceasing operations at certain operating subsidiaries with lower gross margins relative to existing operating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Total operating expenses increased $19.1 million to $214.4 million for the year ended December 31, 2025 from $195.3 million for the year ended December 31, 2024. Total operating expenses includes depreciation, amortization, selling, general and administrative expenses, goodwill impairment and loss (gain) on disposition of assets.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expenses increased $23.8 million to $191.4 million for the year ended December 31, 2025 from $167.6 million for the year ended December 31, 2024. The increase in selling, general and administrative expenses was driven by an increase of $18.0 million related to our operating subsidiaries. This included an increase of $34.9 million due to acquisitions that was partially offset by a decrease of $9.5 million due to ceasing operations at certain unprofitable operating subsidiaries and a decrease of $7.4 million due to strategic initiatives focused on reducing overhead at our operating subsidiaries. Selling, general and administrative expenses from our operating subsidiaries as a percentage of revenue decreased 1% to 29% for the year ended December 31, 2025 from 30% for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selling, general and administrative expenses was partially offset by a decrease of $2.5 million in corporate costs (excluding transaction costs and costs directly related to the Business Combination) as a result of headcount reductions in 2024 and 2025. The reductions in headcount primarily reflect efficiencies achieved through continued development and maturation of the Company’s core technology platform, which has enhanced the Company’s ability to scale operations, as well as the realignment of certain corporate functions to support evolving strategic priorities. Selling, general and administrative expenses from corporate costs (excluding transaction costs and costs directly associated with the Business Combination) as a percentage of revenue decreased 2% to 9% for the year ended December 31, 2025 from 11% for the year ended December 31, 2024. Transaction costs directly attributable to acquisitions were $1.8 million and $0.4 million for the years ended December 31, 2025 and 2024, respectively, which primarily related to legal, consulting, and contingent transaction fees. Costs related to the Business Combination were $2.5 million for the year ended December 31, 2025, which primarily related to legal and accounting fees related to the merger agreement and regulatory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Goodwill impairment increased $3.8 million to $19.4 million for the year ended December 31, 2025 from $15.6 million for the year ended December 31, 2024. The increase in goodwill impairment was primarily attributable to additional operating subsidiaries that ceased operations during the year ended December 31, 2025, reflecting management’s decision to exit certain businesses whose performance and outlook no longer aligned with the Company’s underwriting expectations or long-term return thresholds. The Company periodically evaluates the performance and long-term prospects of its operating subsidiaries as part of its ongoing portfolio management and capital allocation process. Subsidiaries may be impaired when operating performance falls below initial underwriting expectations or when management determines that capital and management resources can be more effectively deployed toward higher-return opportunities. The subsidiaries impaired during the period primarily include certain fixed-price construction businesses and smaller, subscale operations that no longer meet the Company’s underwriting criteria. </w:t>
      </w:r>
    </w:p>
    <w:p>
      <w:pPr>
        <w:pStyle w:val="TextBody"/>
        <w:bidi w:val="0"/>
        <w:spacing w:before="240" w:after="0"/>
        <w:jc w:val="left"/>
        <w:rPr>
          <w:rFonts w:ascii="Times New Roman" w:hAnsi="Times New Roman"/>
          <w:sz w:val="20"/>
        </w:rPr>
      </w:pPr>
      <w:r>
        <w:rPr>
          <w:rFonts w:ascii="Times New Roman" w:hAnsi="Times New Roman"/>
          <w:sz w:val="20"/>
        </w:rPr>
        <w:t xml:space="preserve">Loss (gain) on disposition of assets increased $8.1 million to a gain of $5.4 million for the year ended December 31, 2025 from a loss of $2.7 million for the year ended December 31, 2024. The gains during the year ended December 31, 2025 were primarily driven by a $7.1 million gain on the sale and leaseback of certain real estate properties.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Non-Operating Expenses (Income) </w:t>
      </w:r>
    </w:p>
    <w:p>
      <w:pPr>
        <w:pStyle w:val="TextBody"/>
        <w:bidi w:val="0"/>
        <w:spacing w:before="120" w:after="0"/>
        <w:jc w:val="left"/>
        <w:rPr>
          <w:rFonts w:ascii="Times New Roman" w:hAnsi="Times New Roman"/>
          <w:sz w:val="20"/>
        </w:rPr>
      </w:pPr>
      <w:r>
        <w:rPr>
          <w:rFonts w:ascii="Times New Roman" w:hAnsi="Times New Roman"/>
          <w:sz w:val="20"/>
        </w:rPr>
        <w:t xml:space="preserve">Total non-operating expenses increased $7.5 million to $34.5 million for the year ended December 31, 2025 from $27.0 million for the year ended December 31, 2024. Non-operating expenses include interest expense, net, loss on extinguishment of debt, change in fair value of warrant liability, change in fair value of contingent consideration and other non-operating expenses (income). </w:t>
      </w:r>
    </w:p>
    <w:p>
      <w:pPr>
        <w:pStyle w:val="TextBody"/>
        <w:bidi w:val="0"/>
        <w:spacing w:before="240" w:after="0"/>
        <w:jc w:val="left"/>
        <w:rPr>
          <w:rFonts w:ascii="Times New Roman" w:hAnsi="Times New Roman"/>
          <w:sz w:val="20"/>
        </w:rPr>
      </w:pPr>
      <w:r>
        <w:rPr>
          <w:rFonts w:ascii="Times New Roman" w:hAnsi="Times New Roman"/>
          <w:sz w:val="20"/>
        </w:rPr>
        <w:t xml:space="preserve">Interest expense, net increased $3.4 million to $31.2 million for the year ended December 31, 2025 from $27.8 million for the year ended December 31, 2024. The increase in interest expense, net is primarily attributable to higher average borrowings of $216.5 million during the year ended December 31, 2025 compared to $175.6 million during the year ended December 31, 2024. The increase was attributable to borrowings to finance acquisitions and primarily consisted of single company term loans. The impact on interest expense from these additional borrowings was partially offset by a decrease in the weighted average interest rate to 14.8% for the year ended December 31, 2025 compared to 15.5% for the year ended December 31, 2024. The weighted average interest rate decrease was driven by lower cost of debt from the increased use of single company term loans and seller notes used to finance acquisitions for the year ended December 31, 2025 compared to the higher costs of credit facilities that have historically been utilized to finance acquisitions.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recognized a loss on extinguishment of debt of $4.6 million during the year ended December 31, 2025. The loss on extinguishment of debt was primarily driven by a $2.8 million loss on extinguishment of the Real Estate Loans that were defeased in connection with the completed sale leaseback. Additionally, loss on extinguishment of debt included $1.7 million of unamortized deferred financing costs that were expensed on the extinguishment date of the Sound Point Credit Facility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Gains due to change in the fair value of warrants increased $3.3 million to $4.0 million for the year ended December 31, 2025 from $0.7 million for the year ended December 31, 2024. The increased gain recognized in change in fair value of warrant liability is primarily attributable to a decrease in value of the Company’s equity implied by the Business Combination relative to historical equity issuances. </w:t>
      </w:r>
    </w:p>
    <w:p>
      <w:pPr>
        <w:pStyle w:val="TextBody"/>
        <w:bidi w:val="0"/>
        <w:spacing w:before="240" w:after="0"/>
        <w:jc w:val="left"/>
        <w:rPr>
          <w:rFonts w:ascii="Times New Roman" w:hAnsi="Times New Roman"/>
          <w:sz w:val="20"/>
        </w:rPr>
      </w:pPr>
      <w:r>
        <w:rPr>
          <w:rFonts w:ascii="Times New Roman" w:hAnsi="Times New Roman"/>
          <w:sz w:val="20"/>
        </w:rPr>
        <w:t xml:space="preserve">Other non-operating expenses (income), net increased $1.5 million to an expense of $1.3 million for the year ended December 31, 2025 from income of $0.2 million for the year ended December 31, 2024. The increase in other non-operating expenses is primarily attributable to settlement of performance and payments bonds issued by an operating subsidiary that ceased operations during the year ended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decreased $0.3 million to $0.6 million for the year ended December 31, 2025 from $0.9 million for the year ended December 31, 2024. The decrease in income tax expense is primarily attributable to the increase in state deferred tax benefits of $0.2 million, driven by changes in the blended state income tax rate and changes in estimates upon remittance of certain filings. Additionally, there was a $0.1 million decrease in income tax expense driven by a post-acquisition increase in foreign deferred tax assets.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includes certain financial measures that are not prepared in accordance with GAAP. We present these non-GAAP financial measures because we believe they provide useful supplemental information for investors to evaluate our performance in the same manner as management, to facilitate period-to-period comparisons of our core operating results and to better understand underlying trends in our business. However, these non-GAAP financial measures have limitations as analytical tools and should not be considered in isolation, as substitutes for, or superior to, the most directly comparable GAAP measures. In particular, these measures exclude significant expenses and income that are required by GAAP to be recorded in our financial statements, and other companies may define or calculate similarly titled non-GAAP measures differently, which may reduce their usefulness as comparative measures. </w:t>
      </w:r>
    </w:p>
    <w:p>
      <w:pPr>
        <w:pStyle w:val="TextBody"/>
        <w:bidi w:val="0"/>
        <w:spacing w:before="240" w:after="0"/>
        <w:jc w:val="left"/>
        <w:rPr>
          <w:rFonts w:ascii="Times New Roman" w:hAnsi="Times New Roman"/>
          <w:sz w:val="20"/>
        </w:rPr>
      </w:pPr>
      <w:r>
        <w:rPr>
          <w:rFonts w:ascii="Times New Roman" w:hAnsi="Times New Roman"/>
          <w:sz w:val="20"/>
        </w:rPr>
        <w:t xml:space="preserve">Management uses the non-GAAP financial measures described below, together with the most directly comparable GAAP financial measures, to evaluate operating performance, establish budgets, develop short- and long-term operating plans and assess our liquidity profile. We believe these measures are helpful to investors because they provide additional perspective on the performance of our operations and the cash generation characteristics of our business, both on a reported and pro forma basis. Nevertheless, these measures have inherent limitations, including that they may exclude expenses that recur over time and may be important to understanding our GAAP results. Accordingly, you should review these measures together with our GAAP results.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62"/>
        <w:gridCol w:w="361"/>
        <w:gridCol w:w="147"/>
        <w:gridCol w:w="830"/>
        <w:gridCol w:w="157"/>
        <w:gridCol w:w="361"/>
        <w:gridCol w:w="147"/>
        <w:gridCol w:w="830"/>
        <w:gridCol w:w="160"/>
      </w:tblGrid>
      <w:tr>
        <w:trPr/>
        <w:tc>
          <w:tcPr>
            <w:tcW w:w="4762"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62"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4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160" w:type="dxa"/>
            <w:tcBorders/>
            <w:vAlign w:val="bottom"/>
          </w:tcPr>
          <w:p>
            <w:pPr>
              <w:pStyle w:val="TableContents"/>
              <w:bidi w:val="0"/>
              <w:spacing w:before="0" w:after="283"/>
              <w:jc w:val="left"/>
              <w:rPr/>
            </w:pPr>
            <w:r>
              <w:rPr/>
              <w:t> </w:t>
            </w:r>
          </w:p>
        </w:tc>
      </w:tr>
      <w:tr>
        <w:trPr/>
        <w:tc>
          <w:tcPr>
            <w:tcW w:w="4762" w:type="dxa"/>
            <w:tcBorders/>
            <w:vAlign w:val="bottom"/>
          </w:tcPr>
          <w:p>
            <w:pPr>
              <w:pStyle w:val="TableContents"/>
              <w:bidi w:val="0"/>
              <w:spacing w:before="0" w:after="283"/>
              <w:jc w:val="left"/>
              <w:rPr>
                <w:b/>
              </w:rPr>
            </w:pPr>
            <w:r>
              <w:rPr>
                <w:b/>
              </w:rPr>
              <w:t>($ in thousands)</w:t>
            </w:r>
          </w:p>
        </w:tc>
        <w:tc>
          <w:tcPr>
            <w:tcW w:w="361"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7"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47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(22,777</w:t>
            </w:r>
          </w:p>
        </w:tc>
        <w:tc>
          <w:tcPr>
            <w:tcW w:w="157" w:type="dxa"/>
            <w:tcBorders/>
            <w:shd w:fill="CCEEFF" w:val="clear"/>
            <w:vAlign w:val="bottom"/>
          </w:tcPr>
          <w:p>
            <w:pPr>
              <w:pStyle w:val="TableContents"/>
              <w:bidi w:val="0"/>
              <w:spacing w:before="0" w:after="283"/>
              <w:jc w:val="left"/>
              <w:rPr>
                <w:b/>
              </w:rPr>
            </w:pPr>
            <w:r>
              <w:rPr>
                <w:b/>
              </w:rPr>
              <w:t>) </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(21,390</w:t>
            </w:r>
          </w:p>
        </w:tc>
        <w:tc>
          <w:tcPr>
            <w:tcW w:w="160" w:type="dxa"/>
            <w:tcBorders/>
            <w:shd w:fill="CCEEFF" w:val="clear"/>
            <w:vAlign w:val="bottom"/>
          </w:tcPr>
          <w:p>
            <w:pPr>
              <w:pStyle w:val="TableContents"/>
              <w:bidi w:val="0"/>
              <w:spacing w:before="0" w:after="283"/>
              <w:jc w:val="left"/>
              <w:rPr>
                <w:b/>
              </w:rPr>
            </w:pPr>
            <w:r>
              <w:rPr>
                <w:b/>
              </w:rPr>
              <w:t>) </w:t>
            </w:r>
          </w:p>
        </w:tc>
      </w:tr>
      <w:tr>
        <w:trPr/>
        <w:tc>
          <w:tcPr>
            <w:tcW w:w="4762"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830" w:type="dxa"/>
            <w:tcBorders/>
            <w:vAlign w:val="bottom"/>
          </w:tcPr>
          <w:p>
            <w:pPr>
              <w:pStyle w:val="TableContents"/>
              <w:bidi w:val="0"/>
              <w:spacing w:before="0" w:after="283"/>
              <w:jc w:val="right"/>
              <w:rPr>
                <w:b/>
              </w:rPr>
            </w:pPr>
            <w:r>
              <w:rPr>
                <w:b/>
              </w:rPr>
              <w:t>(1,664</w:t>
            </w:r>
          </w:p>
        </w:tc>
        <w:tc>
          <w:tcPr>
            <w:tcW w:w="157" w:type="dxa"/>
            <w:tcBorders/>
            <w:vAlign w:val="bottom"/>
          </w:tcPr>
          <w:p>
            <w:pPr>
              <w:pStyle w:val="TableContents"/>
              <w:bidi w:val="0"/>
              <w:spacing w:before="0" w:after="283"/>
              <w:jc w:val="left"/>
              <w:rPr>
                <w:b/>
              </w:rPr>
            </w:pPr>
            <w:r>
              <w:rPr>
                <w:b/>
              </w:rPr>
              <w:t>) </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830" w:type="dxa"/>
            <w:tcBorders/>
            <w:vAlign w:val="bottom"/>
          </w:tcPr>
          <w:p>
            <w:pPr>
              <w:pStyle w:val="TableContents"/>
              <w:bidi w:val="0"/>
              <w:spacing w:before="0" w:after="283"/>
              <w:jc w:val="right"/>
              <w:rPr>
                <w:b/>
              </w:rPr>
            </w:pPr>
            <w:r>
              <w:rPr>
                <w:b/>
              </w:rPr>
              <w:t>(3,806</w:t>
            </w:r>
          </w:p>
        </w:tc>
        <w:tc>
          <w:tcPr>
            <w:tcW w:w="160" w:type="dxa"/>
            <w:tcBorders/>
            <w:vAlign w:val="bottom"/>
          </w:tcPr>
          <w:p>
            <w:pPr>
              <w:pStyle w:val="TableContents"/>
              <w:bidi w:val="0"/>
              <w:spacing w:before="0" w:after="283"/>
              <w:jc w:val="left"/>
              <w:rPr>
                <w:b/>
              </w:rPr>
            </w:pPr>
            <w:r>
              <w:rPr>
                <w:b/>
              </w:rPr>
              <w:t>) </w:t>
            </w:r>
          </w:p>
        </w:tc>
      </w:tr>
      <w:tr>
        <w:trPr/>
        <w:tc>
          <w:tcPr>
            <w:tcW w:w="47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Adjusted EBITDA</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(1,601</w:t>
            </w:r>
          </w:p>
        </w:tc>
        <w:tc>
          <w:tcPr>
            <w:tcW w:w="157" w:type="dxa"/>
            <w:tcBorders/>
            <w:shd w:fill="CCEEFF" w:val="clear"/>
            <w:vAlign w:val="bottom"/>
          </w:tcPr>
          <w:p>
            <w:pPr>
              <w:pStyle w:val="TableContents"/>
              <w:bidi w:val="0"/>
              <w:spacing w:before="0" w:after="283"/>
              <w:jc w:val="left"/>
              <w:rPr>
                <w:b/>
              </w:rPr>
            </w:pPr>
            <w:r>
              <w:rPr>
                <w:b/>
              </w:rPr>
              <w:t>) </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(3,738</w:t>
            </w:r>
          </w:p>
        </w:tc>
        <w:tc>
          <w:tcPr>
            <w:tcW w:w="160" w:type="dxa"/>
            <w:tcBorders/>
            <w:shd w:fill="CCEEFF" w:val="clear"/>
            <w:vAlign w:val="bottom"/>
          </w:tcPr>
          <w:p>
            <w:pPr>
              <w:pStyle w:val="TableContents"/>
              <w:bidi w:val="0"/>
              <w:spacing w:before="0" w:after="283"/>
              <w:jc w:val="left"/>
              <w:rPr>
                <w:b/>
              </w:rPr>
            </w:pPr>
            <w:r>
              <w:rPr>
                <w:b/>
              </w:rPr>
              <w:t>) </w:t>
            </w:r>
          </w:p>
        </w:tc>
      </w:tr>
      <w:tr>
        <w:trPr/>
        <w:tc>
          <w:tcPr>
            <w:tcW w:w="4762"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830" w:type="dxa"/>
            <w:tcBorders/>
            <w:vAlign w:val="bottom"/>
          </w:tcPr>
          <w:p>
            <w:pPr>
              <w:pStyle w:val="TableContents"/>
              <w:bidi w:val="0"/>
              <w:spacing w:before="0" w:after="283"/>
              <w:jc w:val="right"/>
              <w:rPr>
                <w:b/>
              </w:rPr>
            </w:pPr>
            <w:r>
              <w:rPr>
                <w:b/>
              </w:rPr>
              <w:t>(3,179</w:t>
            </w:r>
          </w:p>
        </w:tc>
        <w:tc>
          <w:tcPr>
            <w:tcW w:w="157" w:type="dxa"/>
            <w:tcBorders/>
            <w:vAlign w:val="bottom"/>
          </w:tcPr>
          <w:p>
            <w:pPr>
              <w:pStyle w:val="TableContents"/>
              <w:bidi w:val="0"/>
              <w:spacing w:before="0" w:after="283"/>
              <w:jc w:val="left"/>
              <w:rPr>
                <w:b/>
              </w:rPr>
            </w:pPr>
            <w:r>
              <w:rPr>
                <w:b/>
              </w:rPr>
              <w:t>) </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830" w:type="dxa"/>
            <w:tcBorders/>
            <w:vAlign w:val="bottom"/>
          </w:tcPr>
          <w:p>
            <w:pPr>
              <w:pStyle w:val="TableContents"/>
              <w:bidi w:val="0"/>
              <w:spacing w:before="0" w:after="283"/>
              <w:jc w:val="right"/>
              <w:rPr>
                <w:b/>
              </w:rPr>
            </w:pPr>
            <w:r>
              <w:rPr>
                <w:b/>
              </w:rPr>
              <w:t>(22,233</w:t>
            </w:r>
          </w:p>
        </w:tc>
        <w:tc>
          <w:tcPr>
            <w:tcW w:w="160" w:type="dxa"/>
            <w:tcBorders/>
            <w:vAlign w:val="bottom"/>
          </w:tcPr>
          <w:p>
            <w:pPr>
              <w:pStyle w:val="TableContents"/>
              <w:bidi w:val="0"/>
              <w:spacing w:before="0" w:after="283"/>
              <w:jc w:val="left"/>
              <w:rPr>
                <w:b/>
              </w:rPr>
            </w:pPr>
            <w:r>
              <w:rPr>
                <w:b/>
              </w:rPr>
              <w:t>) </w:t>
            </w:r>
          </w:p>
        </w:tc>
      </w:tr>
      <w:tr>
        <w:trPr/>
        <w:tc>
          <w:tcPr>
            <w:tcW w:w="47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Free Cash Flow</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(5,016</w:t>
            </w:r>
          </w:p>
        </w:tc>
        <w:tc>
          <w:tcPr>
            <w:tcW w:w="157" w:type="dxa"/>
            <w:tcBorders/>
            <w:shd w:fill="CCEEFF" w:val="clear"/>
            <w:vAlign w:val="bottom"/>
          </w:tcPr>
          <w:p>
            <w:pPr>
              <w:pStyle w:val="TableContents"/>
              <w:bidi w:val="0"/>
              <w:spacing w:before="0" w:after="283"/>
              <w:jc w:val="left"/>
              <w:rPr>
                <w:b/>
              </w:rPr>
            </w:pPr>
            <w:r>
              <w:rPr>
                <w:b/>
              </w:rPr>
              <w:t>) </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(23,511</w:t>
            </w:r>
          </w:p>
        </w:tc>
        <w:tc>
          <w:tcPr>
            <w:tcW w:w="160" w:type="dxa"/>
            <w:tcBorders/>
            <w:shd w:fill="CCEEFF" w:val="clear"/>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62"/>
        <w:gridCol w:w="361"/>
        <w:gridCol w:w="147"/>
        <w:gridCol w:w="830"/>
        <w:gridCol w:w="157"/>
        <w:gridCol w:w="361"/>
        <w:gridCol w:w="147"/>
        <w:gridCol w:w="830"/>
        <w:gridCol w:w="160"/>
      </w:tblGrid>
      <w:tr>
        <w:trPr/>
        <w:tc>
          <w:tcPr>
            <w:tcW w:w="4762"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62"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4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60" w:type="dxa"/>
            <w:tcBorders/>
            <w:vAlign w:val="bottom"/>
          </w:tcPr>
          <w:p>
            <w:pPr>
              <w:pStyle w:val="TableContents"/>
              <w:bidi w:val="0"/>
              <w:spacing w:before="0" w:after="283"/>
              <w:jc w:val="left"/>
              <w:rPr/>
            </w:pPr>
            <w:r>
              <w:rPr/>
              <w:t> </w:t>
            </w:r>
          </w:p>
        </w:tc>
      </w:tr>
      <w:tr>
        <w:trPr/>
        <w:tc>
          <w:tcPr>
            <w:tcW w:w="4762" w:type="dxa"/>
            <w:tcBorders/>
            <w:vAlign w:val="bottom"/>
          </w:tcPr>
          <w:p>
            <w:pPr>
              <w:pStyle w:val="TableContents"/>
              <w:bidi w:val="0"/>
              <w:spacing w:before="0" w:after="283"/>
              <w:jc w:val="left"/>
              <w:rPr>
                <w:b/>
              </w:rPr>
            </w:pPr>
            <w:r>
              <w:rPr>
                <w:b/>
              </w:rPr>
              <w:t>($ in thousands)</w:t>
            </w:r>
          </w:p>
        </w:tc>
        <w:tc>
          <w:tcPr>
            <w:tcW w:w="361"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7"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47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(66,358</w:t>
            </w:r>
          </w:p>
        </w:tc>
        <w:tc>
          <w:tcPr>
            <w:tcW w:w="157" w:type="dxa"/>
            <w:tcBorders/>
            <w:shd w:fill="CCEEFF" w:val="clear"/>
            <w:vAlign w:val="bottom"/>
          </w:tcPr>
          <w:p>
            <w:pPr>
              <w:pStyle w:val="TableContents"/>
              <w:bidi w:val="0"/>
              <w:spacing w:before="0" w:after="283"/>
              <w:jc w:val="left"/>
              <w:rPr>
                <w:b/>
              </w:rPr>
            </w:pPr>
            <w:r>
              <w:rPr>
                <w:b/>
              </w:rPr>
              <w:t>) </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(83,846</w:t>
            </w:r>
          </w:p>
        </w:tc>
        <w:tc>
          <w:tcPr>
            <w:tcW w:w="160" w:type="dxa"/>
            <w:tcBorders/>
            <w:shd w:fill="CCEEFF" w:val="clear"/>
            <w:vAlign w:val="bottom"/>
          </w:tcPr>
          <w:p>
            <w:pPr>
              <w:pStyle w:val="TableContents"/>
              <w:bidi w:val="0"/>
              <w:spacing w:before="0" w:after="283"/>
              <w:jc w:val="left"/>
              <w:rPr>
                <w:b/>
              </w:rPr>
            </w:pPr>
            <w:r>
              <w:rPr>
                <w:b/>
              </w:rPr>
              <w:t>) </w:t>
            </w:r>
          </w:p>
        </w:tc>
      </w:tr>
      <w:tr>
        <w:trPr/>
        <w:tc>
          <w:tcPr>
            <w:tcW w:w="4762"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830" w:type="dxa"/>
            <w:tcBorders/>
            <w:vAlign w:val="bottom"/>
          </w:tcPr>
          <w:p>
            <w:pPr>
              <w:pStyle w:val="TableContents"/>
              <w:bidi w:val="0"/>
              <w:spacing w:before="0" w:after="283"/>
              <w:jc w:val="right"/>
              <w:rPr>
                <w:b/>
              </w:rPr>
            </w:pPr>
            <w:r>
              <w:rPr>
                <w:b/>
              </w:rPr>
              <w:t>3,849</w:t>
            </w:r>
          </w:p>
        </w:tc>
        <w:tc>
          <w:tcPr>
            <w:tcW w:w="157"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830" w:type="dxa"/>
            <w:tcBorders/>
            <w:vAlign w:val="bottom"/>
          </w:tcPr>
          <w:p>
            <w:pPr>
              <w:pStyle w:val="TableContents"/>
              <w:bidi w:val="0"/>
              <w:spacing w:before="0" w:after="283"/>
              <w:jc w:val="right"/>
              <w:rPr>
                <w:b/>
              </w:rPr>
            </w:pPr>
            <w:r>
              <w:rPr>
                <w:b/>
              </w:rPr>
              <w:t>(20,116</w:t>
            </w:r>
          </w:p>
        </w:tc>
        <w:tc>
          <w:tcPr>
            <w:tcW w:w="160" w:type="dxa"/>
            <w:tcBorders/>
            <w:vAlign w:val="bottom"/>
          </w:tcPr>
          <w:p>
            <w:pPr>
              <w:pStyle w:val="TableContents"/>
              <w:bidi w:val="0"/>
              <w:spacing w:before="0" w:after="283"/>
              <w:jc w:val="left"/>
              <w:rPr>
                <w:b/>
              </w:rPr>
            </w:pPr>
            <w:r>
              <w:rPr>
                <w:b/>
              </w:rPr>
              <w:t>) </w:t>
            </w:r>
          </w:p>
        </w:tc>
      </w:tr>
      <w:tr>
        <w:trPr/>
        <w:tc>
          <w:tcPr>
            <w:tcW w:w="47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Adjusted EBITDA</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18,689</w:t>
            </w:r>
          </w:p>
        </w:tc>
        <w:tc>
          <w:tcPr>
            <w:tcW w:w="157"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(16,141</w:t>
            </w:r>
          </w:p>
        </w:tc>
        <w:tc>
          <w:tcPr>
            <w:tcW w:w="160" w:type="dxa"/>
            <w:tcBorders/>
            <w:shd w:fill="CCEEFF" w:val="clear"/>
            <w:vAlign w:val="bottom"/>
          </w:tcPr>
          <w:p>
            <w:pPr>
              <w:pStyle w:val="TableContents"/>
              <w:bidi w:val="0"/>
              <w:spacing w:before="0" w:after="283"/>
              <w:jc w:val="left"/>
              <w:rPr>
                <w:b/>
              </w:rPr>
            </w:pPr>
            <w:r>
              <w:rPr>
                <w:b/>
              </w:rPr>
              <w:t>) </w:t>
            </w:r>
          </w:p>
        </w:tc>
      </w:tr>
      <w:tr>
        <w:trPr/>
        <w:tc>
          <w:tcPr>
            <w:tcW w:w="4762"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830" w:type="dxa"/>
            <w:tcBorders/>
            <w:vAlign w:val="bottom"/>
          </w:tcPr>
          <w:p>
            <w:pPr>
              <w:pStyle w:val="TableContents"/>
              <w:bidi w:val="0"/>
              <w:spacing w:before="0" w:after="283"/>
              <w:jc w:val="right"/>
              <w:rPr>
                <w:b/>
              </w:rPr>
            </w:pPr>
            <w:r>
              <w:rPr>
                <w:b/>
              </w:rPr>
              <w:t>(38,029</w:t>
            </w:r>
          </w:p>
        </w:tc>
        <w:tc>
          <w:tcPr>
            <w:tcW w:w="157" w:type="dxa"/>
            <w:tcBorders/>
            <w:vAlign w:val="bottom"/>
          </w:tcPr>
          <w:p>
            <w:pPr>
              <w:pStyle w:val="TableContents"/>
              <w:bidi w:val="0"/>
              <w:spacing w:before="0" w:after="283"/>
              <w:jc w:val="left"/>
              <w:rPr>
                <w:b/>
              </w:rPr>
            </w:pPr>
            <w:r>
              <w:rPr>
                <w:b/>
              </w:rPr>
              <w:t>) </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830" w:type="dxa"/>
            <w:tcBorders/>
            <w:vAlign w:val="bottom"/>
          </w:tcPr>
          <w:p>
            <w:pPr>
              <w:pStyle w:val="TableContents"/>
              <w:bidi w:val="0"/>
              <w:spacing w:before="0" w:after="283"/>
              <w:jc w:val="right"/>
              <w:rPr>
                <w:b/>
              </w:rPr>
            </w:pPr>
            <w:r>
              <w:rPr>
                <w:b/>
              </w:rPr>
              <w:t>(42,414</w:t>
            </w:r>
          </w:p>
        </w:tc>
        <w:tc>
          <w:tcPr>
            <w:tcW w:w="160" w:type="dxa"/>
            <w:tcBorders/>
            <w:vAlign w:val="bottom"/>
          </w:tcPr>
          <w:p>
            <w:pPr>
              <w:pStyle w:val="TableContents"/>
              <w:bidi w:val="0"/>
              <w:spacing w:before="0" w:after="283"/>
              <w:jc w:val="left"/>
              <w:rPr>
                <w:b/>
              </w:rPr>
            </w:pPr>
            <w:r>
              <w:rPr>
                <w:b/>
              </w:rPr>
              <w:t>) </w:t>
            </w:r>
          </w:p>
        </w:tc>
      </w:tr>
      <w:tr>
        <w:trPr/>
        <w:tc>
          <w:tcPr>
            <w:tcW w:w="47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Free Cash Flow</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(44,890</w:t>
            </w:r>
          </w:p>
        </w:tc>
        <w:tc>
          <w:tcPr>
            <w:tcW w:w="157" w:type="dxa"/>
            <w:tcBorders/>
            <w:shd w:fill="CCEEFF" w:val="clear"/>
            <w:vAlign w:val="bottom"/>
          </w:tcPr>
          <w:p>
            <w:pPr>
              <w:pStyle w:val="TableContents"/>
              <w:bidi w:val="0"/>
              <w:spacing w:before="0" w:after="283"/>
              <w:jc w:val="left"/>
              <w:rPr>
                <w:b/>
              </w:rPr>
            </w:pPr>
            <w:r>
              <w:rPr>
                <w:b/>
              </w:rPr>
              <w:t>) </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830" w:type="dxa"/>
            <w:tcBorders/>
            <w:shd w:fill="CCEEFF" w:val="clear"/>
            <w:vAlign w:val="bottom"/>
          </w:tcPr>
          <w:p>
            <w:pPr>
              <w:pStyle w:val="TableContents"/>
              <w:bidi w:val="0"/>
              <w:spacing w:before="0" w:after="283"/>
              <w:jc w:val="right"/>
              <w:rPr>
                <w:b/>
              </w:rPr>
            </w:pPr>
            <w:r>
              <w:rPr>
                <w:b/>
              </w:rPr>
              <w:t>(49,369</w:t>
            </w:r>
          </w:p>
        </w:tc>
        <w:tc>
          <w:tcPr>
            <w:tcW w:w="160" w:type="dxa"/>
            <w:tcBorders/>
            <w:shd w:fill="CCEEFF" w:val="clear"/>
            <w:vAlign w:val="bottom"/>
          </w:tcPr>
          <w:p>
            <w:pPr>
              <w:pStyle w:val="TableContents"/>
              <w:bidi w:val="0"/>
              <w:spacing w:before="0" w:after="283"/>
              <w:jc w:val="left"/>
              <w:rPr>
                <w:b/>
              </w:rPr>
            </w:pPr>
            <w:r>
              <w:rPr>
                <w:b/>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use Adjusted EBITDA, Pro Forma Adjusted EBITDA, and Free Cash Flow as described below, to facilitate analysis of our financial and business trends and for internal planning and forecasting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Adjusted EBITDA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represents our consolidated results for the post-acquisition period and is calculated as net income (loss) adjusted to exclude (i) interest expense, net, (ii) income tax expense (benefit), (iii) depreciation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amortization and (iv) certain non-cash items and other amounts that we do not consider indicative of our core operating performance, including share-based compensation, gains or losses on disposition of assets, impairment expense and changes in fair value of financial instruments. We believe Adjusted EBITDA is useful in evaluating our ability to generate earnings from our operating base and to compare our performance across periods, particularly where non-cash expenses and other items may vary in timing and amount. This measure has historically been utilized both internally and externally to assess liquidity, reinvestment capacity, and shareholder returns.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Adjusted EBITDA </w:t>
      </w:r>
    </w:p>
    <w:p>
      <w:pPr>
        <w:pStyle w:val="TextBody"/>
        <w:bidi w:val="0"/>
        <w:spacing w:before="120" w:after="0"/>
        <w:jc w:val="left"/>
        <w:rPr>
          <w:rFonts w:ascii="Times New Roman" w:hAnsi="Times New Roman"/>
          <w:sz w:val="20"/>
        </w:rPr>
      </w:pPr>
      <w:r>
        <w:rPr>
          <w:rFonts w:ascii="Times New Roman" w:hAnsi="Times New Roman"/>
          <w:sz w:val="20"/>
        </w:rPr>
        <w:t xml:space="preserve">Pro Forma Adjusted EBITDA represents Adjusted EBITDA plus the pre-acquisition results for businesses acquired during the relevant period, as if such businesses had been owned for the entirety of the period presented. </w:t>
      </w:r>
    </w:p>
    <w:p>
      <w:pPr>
        <w:pStyle w:val="TextBody"/>
        <w:bidi w:val="0"/>
        <w:spacing w:before="240" w:after="0"/>
        <w:jc w:val="left"/>
        <w:rPr>
          <w:rFonts w:ascii="Times New Roman" w:hAnsi="Times New Roman"/>
          <w:sz w:val="20"/>
        </w:rPr>
      </w:pPr>
      <w:r>
        <w:rPr>
          <w:rFonts w:ascii="Times New Roman" w:hAnsi="Times New Roman"/>
          <w:sz w:val="20"/>
        </w:rPr>
        <w:t xml:space="preserve">The pre-acquisition results reflect pro forma financial information prepared in accordance with ASC 805 and presented in the notes to our consolidated financial statements, adjusted to conform to the requirements of Article 11 of Regulation S-X, including the application of appropriate transaction accounting adjustments. The pre-acquisition results included in Pro Forma Adjusted EBITDA are sourced from the historical financial statements of the acquired businesses, adjusted to conform to GAAP. For each acquired business, we identify the applicable pre-acquisition period(s) within the fiscal year presented and extract the relevant EBITDA (or net income with reconciling adjustments) for those pre-acquisition periods. For each acquisition closed during the period, we include the portion of the fiscal year prior to the acquisition date such that, when combined with the post-acquisition period included in our consolidated results, the acquired business is reflected as if owned for the full fiscal year. For example, for a business acquired on September 1, we include pre-acquisition results for January 1 through August 31 of the applicable year. </w:t>
      </w:r>
    </w:p>
    <w:p>
      <w:pPr>
        <w:pStyle w:val="TextBody"/>
        <w:bidi w:val="0"/>
        <w:spacing w:before="240" w:after="0"/>
        <w:jc w:val="left"/>
        <w:rPr>
          <w:rFonts w:ascii="Times New Roman" w:hAnsi="Times New Roman"/>
          <w:sz w:val="20"/>
        </w:rPr>
      </w:pPr>
      <w:r>
        <w:rPr>
          <w:rFonts w:ascii="Times New Roman" w:hAnsi="Times New Roman"/>
          <w:sz w:val="20"/>
        </w:rPr>
        <w:t xml:space="preserve">The target’s historical financial results are subject to our pre-acquisition financial due diligence procedures, which includes an assessment of their accounting policies and practices. Additionally, thorough financial and legal diligence is performed over the historical financial results, including a quality of earnings assessment and substantive testing of transactions within the general ledger. To ensure consistency and comparability, we apply only factually supportable, policy-conforming adjustments to pre-acquisition results in order to comply with GAAP,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Conforming classification adjustments to align with our presentation (for example, recalculating and reclassifying depreciation and amortization to match our financial statement line items and EBITDA definition).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Removal of owner-specific, non-recurring compensation and related-party expenses that do not continue post-acquisition and for which we assume or implement arm’s-length market terms. The cost structure is then burdened with expected costs related to the placement of a president to replace the retiring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Elimination of non-recurring transaction costs directly related to the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Standardization of accounting policies where objectively determinable and factually supportable (for example, capitalization thresholds for property and equipment, classification of repairs and maintenance). We do not adjust pre-acquisition results for expected synergies, integration initiatives, or other hypothetical or forward-looking benefits.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primary debt agreements define EBITDA-based covenant measures using similar adjustments as the non-GAAP measures presented herein. As a result, the Pro Forma Adjusted EBITDA we present is defined consistently with the EBITDA measure used for covenant compliance under our credit agreements. We are also including this disclosure to enable public investors to understand and assess our compliance with those covenants. We may, from time to time, disclose covenant calculations as required by our agreements; such disclosures are provided for compliance assessment and transparency. In addition, including pre-acquisition results improves the alignment between income statement activity and the balance sheet, as the balance sheet fully reflects the impact of acquisition accounting while the income statement would otherwise present only a partial period of post-acquisition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results. Therefore, key financial metrics such as leverage ratios would be distorted without this adjustment. Furthermore, we believe Pro Forma Adjusted EBITDA enhances consistency and comparability across periods and provides a more representative view of the consolidated entity’s future earnings potential.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Free Cash Flow </w:t>
      </w:r>
    </w:p>
    <w:p>
      <w:pPr>
        <w:pStyle w:val="TextBody"/>
        <w:bidi w:val="0"/>
        <w:spacing w:before="120" w:after="0"/>
        <w:jc w:val="left"/>
        <w:rPr>
          <w:rFonts w:ascii="Times New Roman" w:hAnsi="Times New Roman"/>
          <w:sz w:val="20"/>
        </w:rPr>
      </w:pPr>
      <w:r>
        <w:rPr>
          <w:rFonts w:ascii="Times New Roman" w:hAnsi="Times New Roman"/>
          <w:sz w:val="20"/>
        </w:rPr>
        <w:t xml:space="preserve">Free Cash Flow represents net cash used in operating activities less capital expenditures and additions to internally developed software. We believe Free Cash Flow is useful in assessing our ability to reinvest in the business, pursue strategic transactions and return capital to investors.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of Non-GAAP Measures and Reconciliations to GAAP </w:t>
      </w:r>
    </w:p>
    <w:p>
      <w:pPr>
        <w:pStyle w:val="TextBody"/>
        <w:bidi w:val="0"/>
        <w:spacing w:before="120" w:after="0"/>
        <w:jc w:val="left"/>
        <w:rPr>
          <w:rFonts w:ascii="Times New Roman" w:hAnsi="Times New Roman"/>
          <w:sz w:val="20"/>
        </w:rPr>
      </w:pPr>
      <w:r>
        <w:rPr>
          <w:rFonts w:ascii="Times New Roman" w:hAnsi="Times New Roman"/>
          <w:sz w:val="20"/>
        </w:rPr>
        <w:t xml:space="preserve">Our non-GAAP financial measures have important limitations and are not intended to be considered in isolation or as a substitute for the most directly comparable GAAP measures. These measures exclude significant expenses and income that are required by GAAP to be reflected in our financial statements and, as a result, may not fully capture the costs of operating our business or the timing of related cash flows. The adjustments we make to arrive at these measures may vary from period to period and involve judgment, which reduces comparability over time and to similarly titled measures presented by other companies. Because of these and other limitations, you should consider our non-GAAP financial measures only in conjunction with, and not as superior to, our GAAP results and the reconciliations presented below. </w:t>
      </w:r>
    </w:p>
    <w:p>
      <w:pPr>
        <w:pStyle w:val="TextBody"/>
        <w:bidi w:val="0"/>
        <w:spacing w:before="240" w:after="0"/>
        <w:jc w:val="left"/>
        <w:rPr>
          <w:rFonts w:ascii="Times New Roman" w:hAnsi="Times New Roman"/>
          <w:sz w:val="20"/>
        </w:rPr>
      </w:pPr>
      <w:r>
        <w:rPr>
          <w:rFonts w:ascii="Times New Roman" w:hAnsi="Times New Roman"/>
          <w:sz w:val="20"/>
        </w:rPr>
        <w:t xml:space="preserve">For all periods presented, the most directly comparable GAAP measure to Adjusted EBITDA and Pro Forma Adjusted EBITDA is Net Loss. The most directly comparable GAAP measure to Free Cash Flow is net cash provided by (used in) operating activities. Reconciliations of each non-GAAP measure to the most directly comparable GAAP measure are presented in the tables immediately following this discussion.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 reconciliation of Net Loss, the most comparable GAAP measure, to Adjusted EBITDA, Pro Forma Adjusted EBITDA, and Free Cash Flow for the three months ended March 31, 2026 and March 31,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99"/>
        <w:gridCol w:w="352"/>
        <w:gridCol w:w="146"/>
        <w:gridCol w:w="822"/>
        <w:gridCol w:w="156"/>
        <w:gridCol w:w="352"/>
        <w:gridCol w:w="146"/>
        <w:gridCol w:w="822"/>
        <w:gridCol w:w="160"/>
      </w:tblGrid>
      <w:tr>
        <w:trPr/>
        <w:tc>
          <w:tcPr>
            <w:tcW w:w="4799"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4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160" w:type="dxa"/>
            <w:tcBorders/>
            <w:vAlign w:val="bottom"/>
          </w:tcPr>
          <w:p>
            <w:pPr>
              <w:pStyle w:val="TableContents"/>
              <w:bidi w:val="0"/>
              <w:spacing w:before="0" w:after="283"/>
              <w:jc w:val="left"/>
              <w:rPr/>
            </w:pPr>
            <w:r>
              <w:rPr/>
              <w:t> </w:t>
            </w:r>
          </w:p>
        </w:tc>
      </w:tr>
      <w:tr>
        <w:trPr/>
        <w:tc>
          <w:tcPr>
            <w:tcW w:w="4799" w:type="dxa"/>
            <w:tcBorders/>
            <w:vAlign w:val="bottom"/>
          </w:tcPr>
          <w:p>
            <w:pPr>
              <w:pStyle w:val="TableContents"/>
              <w:bidi w:val="0"/>
              <w:spacing w:before="0" w:after="283"/>
              <w:jc w:val="left"/>
              <w:rPr>
                <w:b/>
              </w:rPr>
            </w:pPr>
            <w:r>
              <w:rPr>
                <w:b/>
              </w:rPr>
              <w:t>($ in thousands)</w:t>
            </w:r>
          </w:p>
        </w:tc>
        <w:tc>
          <w:tcPr>
            <w:tcW w:w="352"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(22,777</w:t>
            </w:r>
          </w:p>
        </w:tc>
        <w:tc>
          <w:tcPr>
            <w:tcW w:w="156" w:type="dxa"/>
            <w:tcBorders/>
            <w:shd w:fill="CCEEFF" w:val="clear"/>
            <w:vAlign w:val="bottom"/>
          </w:tcPr>
          <w:p>
            <w:pPr>
              <w:pStyle w:val="TableContents"/>
              <w:bidi w:val="0"/>
              <w:spacing w:before="0" w:after="283"/>
              <w:jc w:val="left"/>
              <w:rPr>
                <w:b/>
              </w:rPr>
            </w:pPr>
            <w:r>
              <w:rPr>
                <w:b/>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(21,390</w:t>
            </w:r>
          </w:p>
        </w:tc>
        <w:tc>
          <w:tcPr>
            <w:tcW w:w="160" w:type="dxa"/>
            <w:tcBorders/>
            <w:shd w:fill="CCEEFF" w:val="clear"/>
            <w:vAlign w:val="bottom"/>
          </w:tcPr>
          <w:p>
            <w:pPr>
              <w:pStyle w:val="TableContents"/>
              <w:bidi w:val="0"/>
              <w:spacing w:before="0" w:after="283"/>
              <w:jc w:val="left"/>
              <w:rPr>
                <w:b/>
              </w:rPr>
            </w:pPr>
            <w:r>
              <w:rPr>
                <w:b/>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15,364</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7,304</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 (Benefit)</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359</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181</w:t>
            </w:r>
          </w:p>
        </w:tc>
        <w:tc>
          <w:tcPr>
            <w:tcW w:w="160" w:type="dxa"/>
            <w:tcBorders/>
            <w:shd w:fill="CCEEFF" w:val="clear"/>
            <w:vAlign w:val="bottom"/>
          </w:tcPr>
          <w:p>
            <w:pPr>
              <w:pStyle w:val="TableContents"/>
              <w:bidi w:val="0"/>
              <w:spacing w:before="0" w:after="283"/>
              <w:jc w:val="left"/>
              <w:rPr/>
            </w:pPr>
            <w:r>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Depreciation1</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1,144</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1,418</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1,704</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1,413</w:t>
            </w:r>
          </w:p>
        </w:tc>
        <w:tc>
          <w:tcPr>
            <w:tcW w:w="160" w:type="dxa"/>
            <w:tcBorders/>
            <w:shd w:fill="CCEEFF" w:val="clear"/>
            <w:vAlign w:val="bottom"/>
          </w:tcPr>
          <w:p>
            <w:pPr>
              <w:pStyle w:val="TableContents"/>
              <w:bidi w:val="0"/>
              <w:spacing w:before="0" w:after="283"/>
              <w:jc w:val="left"/>
              <w:rPr/>
            </w:pPr>
            <w:r>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2,980</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1,196</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1,059</w:t>
            </w:r>
          </w:p>
        </w:tc>
        <w:tc>
          <w:tcPr>
            <w:tcW w:w="160" w:type="dxa"/>
            <w:tcBorders/>
            <w:shd w:fill="CCEEFF" w:val="clear"/>
            <w:vAlign w:val="bottom"/>
          </w:tcPr>
          <w:p>
            <w:pPr>
              <w:pStyle w:val="TableContents"/>
              <w:bidi w:val="0"/>
              <w:spacing w:before="0" w:after="283"/>
              <w:jc w:val="left"/>
              <w:rPr/>
            </w:pPr>
            <w:r>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Non-Cash (Gains) Losses2</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(332</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(66</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SPAC Merger Transaction Costs3</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1,677</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Costs and Other Items Affecting Comparability4</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3,294</w:t>
            </w:r>
          </w:p>
        </w:tc>
        <w:tc>
          <w:tcPr>
            <w:tcW w:w="160" w:type="dxa"/>
            <w:tcBorders/>
            <w:vAlign w:val="bottom"/>
          </w:tcPr>
          <w:p>
            <w:pPr>
              <w:pStyle w:val="TableContents"/>
              <w:bidi w:val="0"/>
              <w:spacing w:before="0" w:after="283"/>
              <w:jc w:val="left"/>
              <w:rPr/>
            </w:pPr>
            <w:r>
              <w:rPr/>
              <w:t> </w:t>
            </w:r>
          </w:p>
        </w:tc>
      </w:tr>
      <w:tr>
        <w:trPr/>
        <w:tc>
          <w:tcPr>
            <w:tcW w:w="4799"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(1,664</w:t>
            </w:r>
          </w:p>
        </w:tc>
        <w:tc>
          <w:tcPr>
            <w:tcW w:w="156" w:type="dxa"/>
            <w:tcBorders/>
            <w:shd w:fill="CCEEFF" w:val="clear"/>
            <w:vAlign w:val="bottom"/>
          </w:tcPr>
          <w:p>
            <w:pPr>
              <w:pStyle w:val="TableContents"/>
              <w:bidi w:val="0"/>
              <w:spacing w:before="0" w:after="283"/>
              <w:jc w:val="left"/>
              <w:rPr>
                <w:b/>
              </w:rPr>
            </w:pPr>
            <w:r>
              <w:rPr>
                <w:b/>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(3,806</w:t>
            </w:r>
          </w:p>
        </w:tc>
        <w:tc>
          <w:tcPr>
            <w:tcW w:w="160" w:type="dxa"/>
            <w:tcBorders/>
            <w:shd w:fill="CCEEFF" w:val="clear"/>
            <w:vAlign w:val="bottom"/>
          </w:tcPr>
          <w:p>
            <w:pPr>
              <w:pStyle w:val="TableContents"/>
              <w:bidi w:val="0"/>
              <w:spacing w:before="0" w:after="283"/>
              <w:jc w:val="left"/>
              <w:rPr>
                <w:b/>
              </w:rPr>
            </w:pPr>
            <w:r>
              <w:rPr>
                <w:b/>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Pro Forma EBITDA for Acquisitions5</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63</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68</w:t>
            </w:r>
          </w:p>
        </w:tc>
        <w:tc>
          <w:tcPr>
            <w:tcW w:w="160" w:type="dxa"/>
            <w:tcBorders/>
            <w:vAlign w:val="bottom"/>
          </w:tcPr>
          <w:p>
            <w:pPr>
              <w:pStyle w:val="TableContents"/>
              <w:bidi w:val="0"/>
              <w:spacing w:before="0" w:after="283"/>
              <w:jc w:val="left"/>
              <w:rPr/>
            </w:pPr>
            <w:r>
              <w:rPr/>
              <w:t> </w:t>
            </w:r>
          </w:p>
        </w:tc>
      </w:tr>
      <w:tr>
        <w:trPr/>
        <w:tc>
          <w:tcPr>
            <w:tcW w:w="4799"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Adjusted EBITDA</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(1,601</w:t>
            </w:r>
          </w:p>
        </w:tc>
        <w:tc>
          <w:tcPr>
            <w:tcW w:w="156" w:type="dxa"/>
            <w:tcBorders/>
            <w:shd w:fill="CCEEFF" w:val="clear"/>
            <w:vAlign w:val="bottom"/>
          </w:tcPr>
          <w:p>
            <w:pPr>
              <w:pStyle w:val="TableContents"/>
              <w:bidi w:val="0"/>
              <w:spacing w:before="0" w:after="283"/>
              <w:jc w:val="left"/>
              <w:rPr>
                <w:b/>
              </w:rPr>
            </w:pPr>
            <w:r>
              <w:rPr>
                <w:b/>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(3,738</w:t>
            </w:r>
          </w:p>
        </w:tc>
        <w:tc>
          <w:tcPr>
            <w:tcW w:w="160" w:type="dxa"/>
            <w:tcBorders/>
            <w:shd w:fill="CCEEFF" w:val="clear"/>
            <w:vAlign w:val="bottom"/>
          </w:tcPr>
          <w:p>
            <w:pPr>
              <w:pStyle w:val="TableContents"/>
              <w:bidi w:val="0"/>
              <w:spacing w:before="0" w:after="283"/>
              <w:jc w:val="left"/>
              <w:rPr>
                <w:b/>
              </w:rPr>
            </w:pPr>
            <w:r>
              <w:rPr>
                <w:b/>
              </w:rPr>
              <w:t>) </w:t>
            </w:r>
          </w:p>
        </w:tc>
      </w:tr>
      <w:tr>
        <w:trPr/>
        <w:tc>
          <w:tcPr>
            <w:tcW w:w="4799"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822" w:type="dxa"/>
            <w:tcBorders/>
            <w:vAlign w:val="bottom"/>
          </w:tcPr>
          <w:p>
            <w:pPr>
              <w:pStyle w:val="TableContents"/>
              <w:bidi w:val="0"/>
              <w:spacing w:before="0" w:after="283"/>
              <w:jc w:val="right"/>
              <w:rPr>
                <w:b/>
              </w:rPr>
            </w:pPr>
            <w:r>
              <w:rPr>
                <w:b/>
              </w:rPr>
              <w:t>(3,179</w:t>
            </w:r>
          </w:p>
        </w:tc>
        <w:tc>
          <w:tcPr>
            <w:tcW w:w="156" w:type="dxa"/>
            <w:tcBorders/>
            <w:vAlign w:val="bottom"/>
          </w:tcPr>
          <w:p>
            <w:pPr>
              <w:pStyle w:val="TableContents"/>
              <w:bidi w:val="0"/>
              <w:spacing w:before="0" w:after="283"/>
              <w:jc w:val="left"/>
              <w:rPr>
                <w:b/>
              </w:rPr>
            </w:pPr>
            <w:r>
              <w:rPr>
                <w:b/>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822" w:type="dxa"/>
            <w:tcBorders/>
            <w:vAlign w:val="bottom"/>
          </w:tcPr>
          <w:p>
            <w:pPr>
              <w:pStyle w:val="TableContents"/>
              <w:bidi w:val="0"/>
              <w:spacing w:before="0" w:after="283"/>
              <w:jc w:val="right"/>
              <w:rPr>
                <w:b/>
              </w:rPr>
            </w:pPr>
            <w:r>
              <w:rPr>
                <w:b/>
              </w:rPr>
              <w:t>(22,233</w:t>
            </w:r>
          </w:p>
        </w:tc>
        <w:tc>
          <w:tcPr>
            <w:tcW w:w="160" w:type="dxa"/>
            <w:tcBorders/>
            <w:vAlign w:val="bottom"/>
          </w:tcPr>
          <w:p>
            <w:pPr>
              <w:pStyle w:val="TableContents"/>
              <w:bidi w:val="0"/>
              <w:spacing w:before="0" w:after="283"/>
              <w:jc w:val="left"/>
              <w:rPr>
                <w:b/>
              </w:rPr>
            </w:pPr>
            <w:r>
              <w:rPr>
                <w:b/>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(1,336</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(510</w:t>
            </w:r>
          </w:p>
        </w:tc>
        <w:tc>
          <w:tcPr>
            <w:tcW w:w="160" w:type="dxa"/>
            <w:tcBorders/>
            <w:shd w:fill="CCEEFF" w:val="clear"/>
            <w:vAlign w:val="bottom"/>
          </w:tcPr>
          <w:p>
            <w:pPr>
              <w:pStyle w:val="TableContents"/>
              <w:bidi w:val="0"/>
              <w:spacing w:before="0" w:after="283"/>
              <w:jc w:val="left"/>
              <w:rPr/>
            </w:pPr>
            <w:r>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Internally Developed Software</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(501</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(768</w:t>
            </w:r>
          </w:p>
        </w:tc>
        <w:tc>
          <w:tcPr>
            <w:tcW w:w="160" w:type="dxa"/>
            <w:tcBorders/>
            <w:vAlign w:val="bottom"/>
          </w:tcPr>
          <w:p>
            <w:pPr>
              <w:pStyle w:val="TableContents"/>
              <w:bidi w:val="0"/>
              <w:spacing w:before="0" w:after="283"/>
              <w:jc w:val="left"/>
              <w:rPr/>
            </w:pPr>
            <w:r>
              <w:rPr/>
              <w:t>) </w:t>
            </w:r>
          </w:p>
        </w:tc>
      </w:tr>
      <w:tr>
        <w:trPr/>
        <w:tc>
          <w:tcPr>
            <w:tcW w:w="4799"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Free Cash Flow</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(5,016</w:t>
            </w:r>
          </w:p>
        </w:tc>
        <w:tc>
          <w:tcPr>
            <w:tcW w:w="156" w:type="dxa"/>
            <w:tcBorders/>
            <w:shd w:fill="CCEEFF" w:val="clear"/>
            <w:vAlign w:val="bottom"/>
          </w:tcPr>
          <w:p>
            <w:pPr>
              <w:pStyle w:val="TableContents"/>
              <w:bidi w:val="0"/>
              <w:spacing w:before="0" w:after="283"/>
              <w:jc w:val="left"/>
              <w:rPr>
                <w:b/>
              </w:rPr>
            </w:pPr>
            <w:r>
              <w:rPr>
                <w:b/>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(23,511</w:t>
            </w:r>
          </w:p>
        </w:tc>
        <w:tc>
          <w:tcPr>
            <w:tcW w:w="160" w:type="dxa"/>
            <w:tcBorders/>
            <w:shd w:fill="CCEEFF" w:val="clear"/>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$0.3 million and $0.6 million of depreciation expense recognized in cost of revenue for the three months ended March 31, 2026 and 2025,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Non-Cash Gains and Losses includes Loss/(Gain) on Disposition of Assets, Change in Fair Value of Warrant Liability, Change in Fair Value of Contingent Consideration, and Change in Fair Value of Derivatives, which is included in Other non-operating income on the Consolidated Statements of Operations. These adjustments were combined into a single line item within the reconciliation due to materiality. </w:t>
            </w:r>
          </w:p>
        </w:tc>
      </w:tr>
    </w:tbl>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costs incurred during the three months ended March 31, 2026 related to the Business Combination, which primarily related to legal and accounting fees related to the merger agreement and regulatory matters. These costs did not meet the criteria for capitalization in accordance with Staff Accounting Bulletin Topic 5.A and ASC 340-10-S99-1; however, these costs significantly impact the comparability of periods and are therefore included as an adjustment to calculate Adjusted EBITDA. </w:t>
            </w:r>
          </w:p>
        </w:tc>
      </w:tr>
    </w:tbl>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transaction fees directly attributable to the consummation of certain acquisitions of $1.2 million during the three months ended March 31, 2025. These costs were not material during the three months ended March 31, 2026. These are direct incremental costs associated with certain acquisitions and exclude any internal costs related to originations, diligence or legal activities, and recurring costs with third-parties associated with evaluating acquisitions. These costs are included in Selling, General, and Administrative Expenses within the Consolidated Statements of Operations. Additionally, this includes an adjustment of $2.1 million during the three months ended March 31, 2025 for the settlement of performance and payment bonds that were issued by an operating subsidiary that ceased operations. There were no similar costs during the three months ended March 31, 2026. The type of business was unique relative to other operating subsidiaries and the Company has never incurred any other similar types of costs. These costs are included in Other Non-Operating Expense (Income), Net within the Consolidated Statements of Operations. These costs were included as an adjustment to calculate Adjusted EBITDA since they are not representative of ongoing operations. </w:t>
            </w:r>
          </w:p>
        </w:tc>
      </w:tr>
    </w:tbl>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EBITDA for Acquisitions represents the pre-acquisition results of operating subsidiaries acquired prior to the end of the respective periods. The amounts were derived from the pro forma financial results prepared in accordance with ASC 805 and presented within the “Business Combinations” footnote to the Company’s interim consolidated financial statements. The adjustments and presentation conform to the requirements of Article 11 of Regulation S-X, including the application of appropriate transaction accounting adjustments. The following table includes further financial information related to the pre-acquisition results of operating subsidiaries acquired prior to the end of the respective periods, which includes 1 company acquired during each of the three months ended March 31, 2026 and 2025 (there were 4 additional companies acquired during January 2025; however, they are not included in this adjustment as they had a full three months of post-acquisition results during the three months ended March 31, 2025):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15"/>
        <w:gridCol w:w="524"/>
        <w:gridCol w:w="290"/>
        <w:gridCol w:w="803"/>
        <w:gridCol w:w="60"/>
        <w:gridCol w:w="524"/>
        <w:gridCol w:w="214"/>
        <w:gridCol w:w="866"/>
        <w:gridCol w:w="159"/>
      </w:tblGrid>
      <w:tr>
        <w:trPr/>
        <w:tc>
          <w:tcPr>
            <w:tcW w:w="4315"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15" w:type="dxa"/>
            <w:tcBorders/>
            <w:vAlign w:val="bottom"/>
          </w:tcPr>
          <w:p>
            <w:pPr>
              <w:pStyle w:val="TableContents"/>
              <w:bidi w:val="0"/>
              <w:spacing w:before="0" w:after="283"/>
              <w:jc w:val="left"/>
              <w:rPr>
                <w:b/>
              </w:rPr>
            </w:pPr>
            <w:r>
              <w:rPr>
                <w:b/>
              </w:rPr>
              <w:t>($ in thousands)</w:t>
            </w:r>
          </w:p>
        </w:tc>
        <w:tc>
          <w:tcPr>
            <w:tcW w:w="524" w:type="dxa"/>
            <w:tcBorders/>
            <w:vAlign w:val="bottom"/>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080"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2025</w:t>
            </w:r>
          </w:p>
        </w:tc>
        <w:tc>
          <w:tcPr>
            <w:tcW w:w="159" w:type="dxa"/>
            <w:tcBorders/>
            <w:vAlign w:val="bottom"/>
          </w:tcPr>
          <w:p>
            <w:pPr>
              <w:pStyle w:val="TableContents"/>
              <w:bidi w:val="0"/>
              <w:spacing w:before="0" w:after="283"/>
              <w:jc w:val="left"/>
              <w:rPr/>
            </w:pPr>
            <w:r>
              <w:rPr/>
              <w:t> </w:t>
            </w:r>
          </w:p>
        </w:tc>
      </w:tr>
      <w:tr>
        <w:trPr/>
        <w:tc>
          <w:tcPr>
            <w:tcW w:w="4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52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419</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1,280</w:t>
            </w:r>
          </w:p>
        </w:tc>
        <w:tc>
          <w:tcPr>
            <w:tcW w:w="159" w:type="dxa"/>
            <w:tcBorders/>
            <w:shd w:fill="CCEEFF" w:val="clear"/>
            <w:vAlign w:val="bottom"/>
          </w:tcPr>
          <w:p>
            <w:pPr>
              <w:pStyle w:val="TableContents"/>
              <w:bidi w:val="0"/>
              <w:spacing w:before="0" w:after="283"/>
              <w:jc w:val="left"/>
              <w:rPr/>
            </w:pPr>
            <w:r>
              <w:rPr/>
              <w:t> </w:t>
            </w:r>
          </w:p>
        </w:tc>
      </w:tr>
      <w:tr>
        <w:trPr/>
        <w:tc>
          <w:tcPr>
            <w:tcW w:w="4315" w:type="dxa"/>
            <w:tcBorders/>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52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29</w:t>
            </w:r>
          </w:p>
        </w:tc>
        <w:tc>
          <w:tcPr>
            <w:tcW w:w="159" w:type="dxa"/>
            <w:tcBorders/>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52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b/>
              </w:rPr>
            </w:pPr>
            <w:r>
              <w:rPr>
                <w:b/>
              </w:rPr>
              <w:t>$</w:t>
            </w:r>
          </w:p>
        </w:tc>
        <w:tc>
          <w:tcPr>
            <w:tcW w:w="803" w:type="dxa"/>
            <w:tcBorders/>
            <w:shd w:fill="CCEEFF" w:val="clear"/>
            <w:vAlign w:val="bottom"/>
          </w:tcPr>
          <w:p>
            <w:pPr>
              <w:pStyle w:val="TableContents"/>
              <w:bidi w:val="0"/>
              <w:spacing w:before="0" w:after="283"/>
              <w:jc w:val="right"/>
              <w:rPr>
                <w:b/>
              </w:rPr>
            </w:pPr>
            <w:r>
              <w:rPr>
                <w:b/>
              </w:rPr>
              <w:t>52</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866" w:type="dxa"/>
            <w:tcBorders/>
            <w:shd w:fill="CCEEFF" w:val="clear"/>
            <w:vAlign w:val="bottom"/>
          </w:tcPr>
          <w:p>
            <w:pPr>
              <w:pStyle w:val="TableContents"/>
              <w:bidi w:val="0"/>
              <w:spacing w:before="0" w:after="283"/>
              <w:jc w:val="right"/>
              <w:rPr>
                <w:b/>
              </w:rPr>
            </w:pPr>
            <w:r>
              <w:rPr>
                <w:b/>
              </w:rPr>
              <w:t>(5</w:t>
            </w:r>
          </w:p>
        </w:tc>
        <w:tc>
          <w:tcPr>
            <w:tcW w:w="159" w:type="dxa"/>
            <w:tcBorders/>
            <w:shd w:fill="CCEEFF" w:val="clear"/>
            <w:vAlign w:val="bottom"/>
          </w:tcPr>
          <w:p>
            <w:pPr>
              <w:pStyle w:val="TableContents"/>
              <w:bidi w:val="0"/>
              <w:spacing w:before="0" w:after="283"/>
              <w:jc w:val="left"/>
              <w:rPr>
                <w:b/>
              </w:rPr>
            </w:pPr>
            <w:r>
              <w:rPr>
                <w:b/>
              </w:rPr>
              <w:t>) </w:t>
            </w:r>
          </w:p>
        </w:tc>
      </w:tr>
      <w:tr>
        <w:trPr/>
        <w:tc>
          <w:tcPr>
            <w:tcW w:w="431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52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34</w:t>
            </w:r>
          </w:p>
        </w:tc>
        <w:tc>
          <w:tcPr>
            <w:tcW w:w="159" w:type="dxa"/>
            <w:tcBorders/>
            <w:vAlign w:val="bottom"/>
          </w:tcPr>
          <w:p>
            <w:pPr>
              <w:pStyle w:val="TableContents"/>
              <w:bidi w:val="0"/>
              <w:spacing w:before="0" w:after="283"/>
              <w:jc w:val="left"/>
              <w:rPr/>
            </w:pPr>
            <w:r>
              <w:rPr/>
              <w:t> </w:t>
            </w:r>
          </w:p>
        </w:tc>
      </w:tr>
      <w:tr>
        <w:trPr/>
        <w:tc>
          <w:tcPr>
            <w:tcW w:w="4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Disposition of Assets</w:t>
            </w:r>
          </w:p>
        </w:tc>
        <w:tc>
          <w:tcPr>
            <w:tcW w:w="52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39</w:t>
            </w:r>
          </w:p>
        </w:tc>
        <w:tc>
          <w:tcPr>
            <w:tcW w:w="159" w:type="dxa"/>
            <w:tcBorders/>
            <w:shd w:fill="CCEEFF" w:val="clear"/>
            <w:vAlign w:val="bottom"/>
          </w:tcPr>
          <w:p>
            <w:pPr>
              <w:pStyle w:val="TableContents"/>
              <w:bidi w:val="0"/>
              <w:spacing w:before="0" w:after="283"/>
              <w:jc w:val="left"/>
              <w:rPr/>
            </w:pPr>
            <w:r>
              <w:rPr/>
              <w:t> </w:t>
            </w:r>
          </w:p>
        </w:tc>
      </w:tr>
      <w:tr>
        <w:trPr/>
        <w:tc>
          <w:tcPr>
            <w:tcW w:w="4315"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15" w:type="dxa"/>
            <w:tcBorders/>
          </w:tcPr>
          <w:p>
            <w:pPr>
              <w:pStyle w:val="TableContents"/>
              <w:bidi w:val="0"/>
              <w:spacing w:before="0" w:after="0"/>
              <w:jc w:val="left"/>
              <w:rPr>
                <w:rFonts w:ascii="Times New Roman" w:hAnsi="Times New Roman"/>
                <w:b/>
                <w:sz w:val="20"/>
              </w:rPr>
            </w:pPr>
            <w:r>
              <w:rPr>
                <w:rFonts w:ascii="Times New Roman" w:hAnsi="Times New Roman"/>
                <w:b/>
                <w:sz w:val="20"/>
              </w:rPr>
              <w:t>Pro Forma EBITDA for Acquisitions</w:t>
            </w:r>
          </w:p>
        </w:tc>
        <w:tc>
          <w:tcPr>
            <w:tcW w:w="52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b/>
              </w:rPr>
            </w:pPr>
            <w:r>
              <w:rPr>
                <w:b/>
              </w:rPr>
              <w:t>$</w:t>
            </w:r>
          </w:p>
        </w:tc>
        <w:tc>
          <w:tcPr>
            <w:tcW w:w="803" w:type="dxa"/>
            <w:tcBorders/>
            <w:vAlign w:val="bottom"/>
          </w:tcPr>
          <w:p>
            <w:pPr>
              <w:pStyle w:val="TableContents"/>
              <w:bidi w:val="0"/>
              <w:spacing w:before="0" w:after="283"/>
              <w:jc w:val="right"/>
              <w:rPr>
                <w:b/>
              </w:rPr>
            </w:pPr>
            <w:r>
              <w:rPr>
                <w:b/>
              </w:rPr>
              <w:t>63</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866" w:type="dxa"/>
            <w:tcBorders/>
            <w:vAlign w:val="bottom"/>
          </w:tcPr>
          <w:p>
            <w:pPr>
              <w:pStyle w:val="TableContents"/>
              <w:bidi w:val="0"/>
              <w:spacing w:before="0" w:after="283"/>
              <w:jc w:val="right"/>
              <w:rPr>
                <w:b/>
              </w:rPr>
            </w:pPr>
            <w:r>
              <w:rPr>
                <w:b/>
              </w:rPr>
              <w:t>68</w:t>
            </w:r>
          </w:p>
        </w:tc>
        <w:tc>
          <w:tcPr>
            <w:tcW w:w="15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2026, the post-acquisition results of operating subsidiaries acquired during the period contributed an immaterial amount to Adjusted EBITDA. During the three months ended March 31, 2025, the post-acquisition results of operating subsidiaries acquired during the period contributed $1.3 million to Adjusted EBITDA. The operating subsidiaries acquired during 2025 and the three months ended March 31, 2026 had pre-acquisition EBITDA of $14.2 million for the twelve months ended March 31, 2026, which was calculated in a manner consistent with the adjustments reflected in Pro Forma EBITDA for Acquisitions and are intended to provide additional perspective on the full-period earnings contribution of recently acquired businesses.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a reconciliation of Net Loss, the most comparable GAAP measure, to Adjusted EBITDA, Pro Forma Adjusted EBITDA, and Free Cash Flow for the year ended December 31, 2025 and December 31,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99"/>
        <w:gridCol w:w="352"/>
        <w:gridCol w:w="146"/>
        <w:gridCol w:w="822"/>
        <w:gridCol w:w="156"/>
        <w:gridCol w:w="352"/>
        <w:gridCol w:w="146"/>
        <w:gridCol w:w="822"/>
        <w:gridCol w:w="160"/>
      </w:tblGrid>
      <w:tr>
        <w:trPr/>
        <w:tc>
          <w:tcPr>
            <w:tcW w:w="4799"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4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60" w:type="dxa"/>
            <w:tcBorders/>
            <w:vAlign w:val="bottom"/>
          </w:tcPr>
          <w:p>
            <w:pPr>
              <w:pStyle w:val="TableContents"/>
              <w:bidi w:val="0"/>
              <w:spacing w:before="0" w:after="283"/>
              <w:jc w:val="left"/>
              <w:rPr/>
            </w:pPr>
            <w:r>
              <w:rPr/>
              <w:t> </w:t>
            </w:r>
          </w:p>
        </w:tc>
      </w:tr>
      <w:tr>
        <w:trPr/>
        <w:tc>
          <w:tcPr>
            <w:tcW w:w="4799" w:type="dxa"/>
            <w:tcBorders/>
            <w:vAlign w:val="bottom"/>
          </w:tcPr>
          <w:p>
            <w:pPr>
              <w:pStyle w:val="TableContents"/>
              <w:bidi w:val="0"/>
              <w:spacing w:before="0" w:after="283"/>
              <w:jc w:val="left"/>
              <w:rPr>
                <w:b/>
              </w:rPr>
            </w:pPr>
            <w:r>
              <w:rPr>
                <w:b/>
              </w:rPr>
              <w:t>($ in thousands)</w:t>
            </w:r>
          </w:p>
        </w:tc>
        <w:tc>
          <w:tcPr>
            <w:tcW w:w="352"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(66,358</w:t>
            </w:r>
          </w:p>
        </w:tc>
        <w:tc>
          <w:tcPr>
            <w:tcW w:w="156" w:type="dxa"/>
            <w:tcBorders/>
            <w:shd w:fill="CCEEFF" w:val="clear"/>
            <w:vAlign w:val="bottom"/>
          </w:tcPr>
          <w:p>
            <w:pPr>
              <w:pStyle w:val="TableContents"/>
              <w:bidi w:val="0"/>
              <w:spacing w:before="0" w:after="283"/>
              <w:jc w:val="left"/>
              <w:rPr>
                <w:b/>
              </w:rPr>
            </w:pPr>
            <w:r>
              <w:rPr>
                <w:b/>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(83,846</w:t>
            </w:r>
          </w:p>
        </w:tc>
        <w:tc>
          <w:tcPr>
            <w:tcW w:w="160" w:type="dxa"/>
            <w:tcBorders/>
            <w:shd w:fill="CCEEFF" w:val="clear"/>
            <w:vAlign w:val="bottom"/>
          </w:tcPr>
          <w:p>
            <w:pPr>
              <w:pStyle w:val="TableContents"/>
              <w:bidi w:val="0"/>
              <w:spacing w:before="0" w:after="283"/>
              <w:jc w:val="left"/>
              <w:rPr>
                <w:b/>
              </w:rPr>
            </w:pPr>
            <w:r>
              <w:rPr>
                <w:b/>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31,191</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27,766</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 (Benefit)</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562</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890</w:t>
            </w:r>
          </w:p>
        </w:tc>
        <w:tc>
          <w:tcPr>
            <w:tcW w:w="160" w:type="dxa"/>
            <w:tcBorders/>
            <w:shd w:fill="CCEEFF" w:val="clear"/>
            <w:vAlign w:val="bottom"/>
          </w:tcPr>
          <w:p>
            <w:pPr>
              <w:pStyle w:val="TableContents"/>
              <w:bidi w:val="0"/>
              <w:spacing w:before="0" w:after="283"/>
              <w:jc w:val="left"/>
              <w:rPr/>
            </w:pPr>
            <w:r>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Depreciation1</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5,673</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5,670</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5,907</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5,635</w:t>
            </w:r>
          </w:p>
        </w:tc>
        <w:tc>
          <w:tcPr>
            <w:tcW w:w="160" w:type="dxa"/>
            <w:tcBorders/>
            <w:shd w:fill="CCEEFF" w:val="clear"/>
            <w:vAlign w:val="bottom"/>
          </w:tcPr>
          <w:p>
            <w:pPr>
              <w:pStyle w:val="TableContents"/>
              <w:bidi w:val="0"/>
              <w:spacing w:before="0" w:after="283"/>
              <w:jc w:val="left"/>
              <w:rPr/>
            </w:pPr>
            <w:r>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19,412</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15,645</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4,270</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5,208</w:t>
            </w:r>
          </w:p>
        </w:tc>
        <w:tc>
          <w:tcPr>
            <w:tcW w:w="160" w:type="dxa"/>
            <w:tcBorders/>
            <w:shd w:fill="CCEEFF" w:val="clear"/>
            <w:vAlign w:val="bottom"/>
          </w:tcPr>
          <w:p>
            <w:pPr>
              <w:pStyle w:val="TableContents"/>
              <w:bidi w:val="0"/>
              <w:spacing w:before="0" w:after="283"/>
              <w:jc w:val="left"/>
              <w:rPr/>
            </w:pPr>
            <w:r>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Non-Cash (Gains) Losses2</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(3,249</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2,050</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SPAC Merger Transaction Costs3</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2,475</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0</w:t>
            </w:r>
          </w:p>
        </w:tc>
        <w:tc>
          <w:tcPr>
            <w:tcW w:w="160" w:type="dxa"/>
            <w:tcBorders/>
            <w:shd w:fill="CCEEFF" w:val="clear"/>
            <w:vAlign w:val="bottom"/>
          </w:tcPr>
          <w:p>
            <w:pPr>
              <w:pStyle w:val="TableContents"/>
              <w:bidi w:val="0"/>
              <w:spacing w:before="0" w:after="283"/>
              <w:jc w:val="left"/>
              <w:rPr/>
            </w:pPr>
            <w:r>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Costs and Other Items Affecting Comparability4</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3,966</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866</w:t>
            </w:r>
          </w:p>
        </w:tc>
        <w:tc>
          <w:tcPr>
            <w:tcW w:w="160" w:type="dxa"/>
            <w:tcBorders/>
            <w:vAlign w:val="bottom"/>
          </w:tcPr>
          <w:p>
            <w:pPr>
              <w:pStyle w:val="TableContents"/>
              <w:bidi w:val="0"/>
              <w:spacing w:before="0" w:after="283"/>
              <w:jc w:val="left"/>
              <w:rPr/>
            </w:pPr>
            <w:r>
              <w:rPr/>
              <w:t> </w:t>
            </w:r>
          </w:p>
        </w:tc>
      </w:tr>
      <w:tr>
        <w:trPr/>
        <w:tc>
          <w:tcPr>
            <w:tcW w:w="4799"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3,849</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(20,116</w:t>
            </w:r>
          </w:p>
        </w:tc>
        <w:tc>
          <w:tcPr>
            <w:tcW w:w="160" w:type="dxa"/>
            <w:tcBorders/>
            <w:shd w:fill="CCEEFF" w:val="clear"/>
            <w:vAlign w:val="bottom"/>
          </w:tcPr>
          <w:p>
            <w:pPr>
              <w:pStyle w:val="TableContents"/>
              <w:bidi w:val="0"/>
              <w:spacing w:before="0" w:after="283"/>
              <w:jc w:val="left"/>
              <w:rPr>
                <w:b/>
              </w:rPr>
            </w:pPr>
            <w:r>
              <w:rPr>
                <w:b/>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Pro Forma EBITDA for Acquisitions5</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14,840</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3,975</w:t>
            </w:r>
          </w:p>
        </w:tc>
        <w:tc>
          <w:tcPr>
            <w:tcW w:w="160" w:type="dxa"/>
            <w:tcBorders/>
            <w:vAlign w:val="bottom"/>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Adjusted EBITDA</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18,689</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(16,141</w:t>
            </w:r>
          </w:p>
        </w:tc>
        <w:tc>
          <w:tcPr>
            <w:tcW w:w="160" w:type="dxa"/>
            <w:tcBorders/>
            <w:shd w:fill="CCEEFF" w:val="clear"/>
            <w:vAlign w:val="bottom"/>
          </w:tcPr>
          <w:p>
            <w:pPr>
              <w:pStyle w:val="TableContents"/>
              <w:bidi w:val="0"/>
              <w:spacing w:before="0" w:after="283"/>
              <w:jc w:val="left"/>
              <w:rPr>
                <w:b/>
              </w:rPr>
            </w:pPr>
            <w:r>
              <w:rPr>
                <w:b/>
              </w:rPr>
              <w:t>) </w:t>
            </w:r>
          </w:p>
        </w:tc>
      </w:tr>
      <w:tr>
        <w:trPr/>
        <w:tc>
          <w:tcPr>
            <w:tcW w:w="4799"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822" w:type="dxa"/>
            <w:tcBorders/>
            <w:vAlign w:val="bottom"/>
          </w:tcPr>
          <w:p>
            <w:pPr>
              <w:pStyle w:val="TableContents"/>
              <w:bidi w:val="0"/>
              <w:spacing w:before="0" w:after="283"/>
              <w:jc w:val="right"/>
              <w:rPr>
                <w:b/>
              </w:rPr>
            </w:pPr>
            <w:r>
              <w:rPr>
                <w:b/>
              </w:rPr>
              <w:t>(38,029</w:t>
            </w:r>
          </w:p>
        </w:tc>
        <w:tc>
          <w:tcPr>
            <w:tcW w:w="156" w:type="dxa"/>
            <w:tcBorders/>
            <w:vAlign w:val="bottom"/>
          </w:tcPr>
          <w:p>
            <w:pPr>
              <w:pStyle w:val="TableContents"/>
              <w:bidi w:val="0"/>
              <w:spacing w:before="0" w:after="283"/>
              <w:jc w:val="left"/>
              <w:rPr>
                <w:b/>
              </w:rPr>
            </w:pPr>
            <w:r>
              <w:rPr>
                <w:b/>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822" w:type="dxa"/>
            <w:tcBorders/>
            <w:vAlign w:val="bottom"/>
          </w:tcPr>
          <w:p>
            <w:pPr>
              <w:pStyle w:val="TableContents"/>
              <w:bidi w:val="0"/>
              <w:spacing w:before="0" w:after="283"/>
              <w:jc w:val="right"/>
              <w:rPr>
                <w:b/>
              </w:rPr>
            </w:pPr>
            <w:r>
              <w:rPr>
                <w:b/>
              </w:rPr>
              <w:t>(42,414</w:t>
            </w:r>
          </w:p>
        </w:tc>
        <w:tc>
          <w:tcPr>
            <w:tcW w:w="160" w:type="dxa"/>
            <w:tcBorders/>
            <w:vAlign w:val="bottom"/>
          </w:tcPr>
          <w:p>
            <w:pPr>
              <w:pStyle w:val="TableContents"/>
              <w:bidi w:val="0"/>
              <w:spacing w:before="0" w:after="283"/>
              <w:jc w:val="left"/>
              <w:rPr>
                <w:b/>
              </w:rPr>
            </w:pPr>
            <w:r>
              <w:rPr>
                <w:b/>
              </w:rPr>
              <w:t>) </w:t>
            </w:r>
          </w:p>
        </w:tc>
      </w:tr>
      <w:tr>
        <w:trPr/>
        <w:tc>
          <w:tcPr>
            <w:tcW w:w="47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(4,097</w:t>
            </w:r>
          </w:p>
        </w:tc>
        <w:tc>
          <w:tcPr>
            <w:tcW w:w="15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(3,546</w:t>
            </w:r>
          </w:p>
        </w:tc>
        <w:tc>
          <w:tcPr>
            <w:tcW w:w="160" w:type="dxa"/>
            <w:tcBorders/>
            <w:shd w:fill="CCEEFF" w:val="clear"/>
            <w:vAlign w:val="bottom"/>
          </w:tcPr>
          <w:p>
            <w:pPr>
              <w:pStyle w:val="TableContents"/>
              <w:bidi w:val="0"/>
              <w:spacing w:before="0" w:after="283"/>
              <w:jc w:val="left"/>
              <w:rPr/>
            </w:pPr>
            <w:r>
              <w:rPr/>
              <w:t>) </w:t>
            </w:r>
          </w:p>
        </w:tc>
      </w:tr>
      <w:tr>
        <w:trPr/>
        <w:tc>
          <w:tcPr>
            <w:tcW w:w="4799"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Internally Developed Software</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(2,764</w:t>
            </w:r>
          </w:p>
        </w:tc>
        <w:tc>
          <w:tcPr>
            <w:tcW w:w="15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(3,409</w:t>
            </w:r>
          </w:p>
        </w:tc>
        <w:tc>
          <w:tcPr>
            <w:tcW w:w="160" w:type="dxa"/>
            <w:tcBorders/>
            <w:vAlign w:val="bottom"/>
          </w:tcPr>
          <w:p>
            <w:pPr>
              <w:pStyle w:val="TableContents"/>
              <w:bidi w:val="0"/>
              <w:spacing w:before="0" w:after="283"/>
              <w:jc w:val="left"/>
              <w:rPr/>
            </w:pPr>
            <w:r>
              <w:rPr/>
              <w:t>) </w:t>
            </w:r>
          </w:p>
        </w:tc>
      </w:tr>
      <w:tr>
        <w:trPr/>
        <w:tc>
          <w:tcPr>
            <w:tcW w:w="4799"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Free Cash Flow</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(44,890</w:t>
            </w:r>
          </w:p>
        </w:tc>
        <w:tc>
          <w:tcPr>
            <w:tcW w:w="156" w:type="dxa"/>
            <w:tcBorders/>
            <w:shd w:fill="CCEEFF" w:val="clear"/>
            <w:vAlign w:val="bottom"/>
          </w:tcPr>
          <w:p>
            <w:pPr>
              <w:pStyle w:val="TableContents"/>
              <w:bidi w:val="0"/>
              <w:spacing w:before="0" w:after="283"/>
              <w:jc w:val="left"/>
              <w:rPr>
                <w:b/>
              </w:rPr>
            </w:pPr>
            <w:r>
              <w:rPr>
                <w:b/>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822" w:type="dxa"/>
            <w:tcBorders/>
            <w:shd w:fill="CCEEFF" w:val="clear"/>
            <w:vAlign w:val="bottom"/>
          </w:tcPr>
          <w:p>
            <w:pPr>
              <w:pStyle w:val="TableContents"/>
              <w:bidi w:val="0"/>
              <w:spacing w:before="0" w:after="283"/>
              <w:jc w:val="right"/>
              <w:rPr>
                <w:b/>
              </w:rPr>
            </w:pPr>
            <w:r>
              <w:rPr>
                <w:b/>
              </w:rPr>
              <w:t>(49,369</w:t>
            </w:r>
          </w:p>
        </w:tc>
        <w:tc>
          <w:tcPr>
            <w:tcW w:w="160" w:type="dxa"/>
            <w:tcBorders/>
            <w:shd w:fill="CCEEFF" w:val="clear"/>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$2.6 million and $1.9 million of depreciation expense recognized in cost of revenue for the years ended December 31, 2025 and 2024, respectively. </w:t>
            </w:r>
          </w:p>
        </w:tc>
      </w:tr>
    </w:tbl>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Non-Cash Gains and Losses includes Loss/(Gain) on Disposition of Assets, Change in Fair Value of Warrant Liability, Change in Fair Value of Contingent Consideration, and Change in Fair Value of Derivatives, which is included in Other non-operating income on the Consolidated Statements of Operations. These adjustments were combined into a single line item within the reconciliation due to materiality. </w:t>
            </w:r>
          </w:p>
        </w:tc>
      </w:tr>
    </w:tbl>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costs incurred during the year ended December 31, 2025 related to the Business Combination, which primarily related to legal and accounting fees related to the merger agreement and regulatory matters. These costs did not meet the criteria for capitalization in accordance with Staff Accounting Bulletin Topic 5.A and ASC 340-10-S99-1; however, these costs significantly impact the comparability of periods and are therefore included as an adjustment to calculate Adjusted EBITDA. </w:t>
            </w:r>
          </w:p>
        </w:tc>
      </w:tr>
    </w:tbl>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transaction fees directly attributable to the consummation of certain acquisitions of $1.8 million and $0.4 million during the years ended December 31, 2025 and 2024, respectively. These are direct incremental costs associated with certain acquisitions and exclude any internal costs related to originations, diligence or legal activities, and recurring costs with third-parties associated with evaluating acquisitions. These costs are included in Selling, General, and Administrative Expenses within the Consolidated Statements of Operations. Additionally, this includes an adjustment of $2.1 million and $0.5 million during the years ended December 31, 2025 and 2024, respectively, for the settlement of performance and payment bonds that were issued by an operating subsidiary that ceased operations. The type of business was unique relative to other operating subsidiaries and the Company has never incurred any other similar types of costs. These costs are included in Other Non-Operating Expense (Income), Net within the Consolidated Statements of Operations. These costs were included as an adjustment to calculate Adjusted EBITDA since they are not representative of ongoing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EBITDA for Acquisitions represents the pre-acquisition results of operating subsidiaries acquired prior to the end of the respective periods. The amounts were derived from the pro forma financial results prepared in accordance with ASC 805 and presented within the “Business Combinations” footnote to the Company’s annual audited consolidated financial statements. The adjustments and presentation conform to the requirements of Article 11 of Regulation S-X, including the application of appropriate transaction accounting adjustments. The following table includes further financial information related to the pre-acquisition results of operating subsidiaries acquired prior to the end of the respective periods, which includes 9 and 7 companies acquired during the year ended December 31, 2025 and 2024: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20"/>
        <w:gridCol w:w="482"/>
        <w:gridCol w:w="242"/>
        <w:gridCol w:w="1231"/>
        <w:gridCol w:w="60"/>
        <w:gridCol w:w="482"/>
        <w:gridCol w:w="242"/>
        <w:gridCol w:w="1231"/>
        <w:gridCol w:w="65"/>
      </w:tblGrid>
      <w:tr>
        <w:trPr/>
        <w:tc>
          <w:tcPr>
            <w:tcW w:w="3720"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720" w:type="dxa"/>
            <w:tcBorders/>
            <w:vAlign w:val="bottom"/>
          </w:tcPr>
          <w:p>
            <w:pPr>
              <w:pStyle w:val="TableContents"/>
              <w:bidi w:val="0"/>
              <w:spacing w:before="0" w:after="283"/>
              <w:jc w:val="left"/>
              <w:rPr>
                <w:b/>
              </w:rPr>
            </w:pPr>
            <w:r>
              <w:rPr>
                <w:b/>
              </w:rPr>
              <w:t>($ in thousands)</w:t>
            </w:r>
          </w:p>
        </w:tc>
        <w:tc>
          <w:tcPr>
            <w:tcW w:w="482" w:type="dxa"/>
            <w:tcBorders/>
            <w:vAlign w:val="bottom"/>
          </w:tcPr>
          <w:p>
            <w:pPr>
              <w:pStyle w:val="TableContents"/>
              <w:bidi w:val="0"/>
              <w:spacing w:before="0" w:after="283"/>
              <w:jc w:val="left"/>
              <w:rPr/>
            </w:pPr>
            <w:r>
              <w:rPr/>
              <w:t>  </w:t>
            </w:r>
          </w:p>
        </w:tc>
        <w:tc>
          <w:tcPr>
            <w:tcW w:w="14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4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5" w:type="dxa"/>
            <w:tcBorders/>
            <w:vAlign w:val="bottom"/>
          </w:tcPr>
          <w:p>
            <w:pPr>
              <w:pStyle w:val="TableContents"/>
              <w:bidi w:val="0"/>
              <w:spacing w:before="0" w:after="283"/>
              <w:jc w:val="left"/>
              <w:rPr/>
            </w:pPr>
            <w:r>
              <w:rPr/>
              <w:t> </w:t>
            </w:r>
          </w:p>
        </w:tc>
      </w:tr>
      <w:tr>
        <w:trPr/>
        <w:tc>
          <w:tcPr>
            <w:tcW w:w="37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48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69,777</w:t>
            </w:r>
          </w:p>
        </w:tc>
        <w:tc>
          <w:tcPr>
            <w:tcW w:w="6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22,972</w:t>
            </w:r>
          </w:p>
        </w:tc>
        <w:tc>
          <w:tcPr>
            <w:tcW w:w="65" w:type="dxa"/>
            <w:tcBorders/>
            <w:shd w:fill="CCEEFF" w:val="clear"/>
            <w:vAlign w:val="bottom"/>
          </w:tcPr>
          <w:p>
            <w:pPr>
              <w:pStyle w:val="TableContents"/>
              <w:bidi w:val="0"/>
              <w:spacing w:before="0" w:after="283"/>
              <w:jc w:val="left"/>
              <w:rPr/>
            </w:pPr>
            <w:r>
              <w:rPr/>
              <w:t> </w:t>
            </w:r>
          </w:p>
        </w:tc>
      </w:tr>
      <w:tr>
        <w:trPr/>
        <w:tc>
          <w:tcPr>
            <w:tcW w:w="3720" w:type="dxa"/>
            <w:tcBorders/>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48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15,957</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3,428</w:t>
            </w:r>
          </w:p>
        </w:tc>
        <w:tc>
          <w:tcPr>
            <w:tcW w:w="65" w:type="dxa"/>
            <w:tcBorders/>
            <w:vAlign w:val="bottom"/>
          </w:tcPr>
          <w:p>
            <w:pPr>
              <w:pStyle w:val="TableContents"/>
              <w:bidi w:val="0"/>
              <w:spacing w:before="0" w:after="283"/>
              <w:jc w:val="left"/>
              <w:rPr/>
            </w:pPr>
            <w:r>
              <w:rPr/>
              <w:t> </w:t>
            </w:r>
          </w:p>
        </w:tc>
      </w:tr>
      <w:tr>
        <w:trPr/>
        <w:tc>
          <w:tcPr>
            <w:tcW w:w="3720"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7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48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b/>
              </w:rPr>
            </w:pPr>
            <w:r>
              <w:rPr>
                <w:b/>
              </w:rPr>
              <w:t>$</w:t>
            </w:r>
          </w:p>
        </w:tc>
        <w:tc>
          <w:tcPr>
            <w:tcW w:w="1231" w:type="dxa"/>
            <w:tcBorders/>
            <w:shd w:fill="CCEEFF" w:val="clear"/>
            <w:vAlign w:val="bottom"/>
          </w:tcPr>
          <w:p>
            <w:pPr>
              <w:pStyle w:val="TableContents"/>
              <w:bidi w:val="0"/>
              <w:spacing w:before="0" w:after="283"/>
              <w:jc w:val="right"/>
              <w:rPr>
                <w:b/>
              </w:rPr>
            </w:pPr>
            <w:r>
              <w:rPr>
                <w:b/>
              </w:rPr>
              <w:t>10,865</w:t>
            </w:r>
          </w:p>
        </w:tc>
        <w:tc>
          <w:tcPr>
            <w:tcW w:w="6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b/>
              </w:rPr>
            </w:pPr>
            <w:r>
              <w:rPr>
                <w:b/>
              </w:rPr>
              <w:t>$</w:t>
            </w:r>
          </w:p>
        </w:tc>
        <w:tc>
          <w:tcPr>
            <w:tcW w:w="1231" w:type="dxa"/>
            <w:tcBorders/>
            <w:shd w:fill="CCEEFF" w:val="clear"/>
            <w:vAlign w:val="bottom"/>
          </w:tcPr>
          <w:p>
            <w:pPr>
              <w:pStyle w:val="TableContents"/>
              <w:bidi w:val="0"/>
              <w:spacing w:before="0" w:after="283"/>
              <w:jc w:val="right"/>
              <w:rPr>
                <w:b/>
              </w:rPr>
            </w:pPr>
            <w:r>
              <w:rPr>
                <w:b/>
              </w:rPr>
              <w:t>2,775</w:t>
            </w:r>
          </w:p>
        </w:tc>
        <w:tc>
          <w:tcPr>
            <w:tcW w:w="65" w:type="dxa"/>
            <w:tcBorders/>
            <w:shd w:fill="CCEEFF" w:val="clear"/>
            <w:vAlign w:val="bottom"/>
          </w:tcPr>
          <w:p>
            <w:pPr>
              <w:pStyle w:val="TableContents"/>
              <w:bidi w:val="0"/>
              <w:spacing w:before="0" w:after="283"/>
              <w:jc w:val="left"/>
              <w:rPr/>
            </w:pPr>
            <w:r>
              <w:rPr/>
              <w:t> </w:t>
            </w:r>
          </w:p>
        </w:tc>
      </w:tr>
      <w:tr>
        <w:trPr/>
        <w:tc>
          <w:tcPr>
            <w:tcW w:w="372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48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3,027</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699</w:t>
            </w:r>
          </w:p>
        </w:tc>
        <w:tc>
          <w:tcPr>
            <w:tcW w:w="65" w:type="dxa"/>
            <w:tcBorders/>
            <w:vAlign w:val="bottom"/>
          </w:tcPr>
          <w:p>
            <w:pPr>
              <w:pStyle w:val="TableContents"/>
              <w:bidi w:val="0"/>
              <w:spacing w:before="0" w:after="283"/>
              <w:jc w:val="left"/>
              <w:rPr/>
            </w:pPr>
            <w:r>
              <w:rPr/>
              <w:t> </w:t>
            </w:r>
          </w:p>
        </w:tc>
      </w:tr>
      <w:tr>
        <w:trPr/>
        <w:tc>
          <w:tcPr>
            <w:tcW w:w="37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48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910</w:t>
            </w:r>
          </w:p>
        </w:tc>
        <w:tc>
          <w:tcPr>
            <w:tcW w:w="6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501</w:t>
            </w:r>
          </w:p>
        </w:tc>
        <w:tc>
          <w:tcPr>
            <w:tcW w:w="65" w:type="dxa"/>
            <w:tcBorders/>
            <w:shd w:fill="CCEEFF" w:val="clear"/>
            <w:vAlign w:val="bottom"/>
          </w:tcPr>
          <w:p>
            <w:pPr>
              <w:pStyle w:val="TableContents"/>
              <w:bidi w:val="0"/>
              <w:spacing w:before="0" w:after="283"/>
              <w:jc w:val="left"/>
              <w:rPr/>
            </w:pPr>
            <w:r>
              <w:rPr/>
              <w:t> </w:t>
            </w:r>
          </w:p>
        </w:tc>
      </w:tr>
      <w:tr>
        <w:trPr/>
        <w:tc>
          <w:tcPr>
            <w:tcW w:w="3720" w:type="dxa"/>
            <w:tcBorders/>
          </w:tcPr>
          <w:p>
            <w:pPr>
              <w:pStyle w:val="TableContents"/>
              <w:bidi w:val="0"/>
              <w:spacing w:before="0" w:after="0"/>
              <w:jc w:val="left"/>
              <w:rPr>
                <w:rFonts w:ascii="Times New Roman" w:hAnsi="Times New Roman"/>
                <w:sz w:val="20"/>
              </w:rPr>
            </w:pPr>
            <w:r>
              <w:rPr>
                <w:rFonts w:ascii="Times New Roman" w:hAnsi="Times New Roman"/>
                <w:sz w:val="20"/>
              </w:rPr>
              <w:t>Loss (Gain) on Disposition of Assets</w:t>
            </w:r>
          </w:p>
        </w:tc>
        <w:tc>
          <w:tcPr>
            <w:tcW w:w="48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720"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7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EBITDA for Acquisitions</w:t>
            </w:r>
          </w:p>
        </w:tc>
        <w:tc>
          <w:tcPr>
            <w:tcW w:w="48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b/>
              </w:rPr>
            </w:pPr>
            <w:r>
              <w:rPr>
                <w:b/>
              </w:rPr>
              <w:t>$</w:t>
            </w:r>
          </w:p>
        </w:tc>
        <w:tc>
          <w:tcPr>
            <w:tcW w:w="1231" w:type="dxa"/>
            <w:tcBorders/>
            <w:shd w:fill="CCEEFF" w:val="clear"/>
            <w:vAlign w:val="bottom"/>
          </w:tcPr>
          <w:p>
            <w:pPr>
              <w:pStyle w:val="TableContents"/>
              <w:bidi w:val="0"/>
              <w:spacing w:before="0" w:after="283"/>
              <w:jc w:val="right"/>
              <w:rPr>
                <w:b/>
              </w:rPr>
            </w:pPr>
            <w:r>
              <w:rPr>
                <w:b/>
              </w:rPr>
              <w:t>14,840</w:t>
            </w:r>
          </w:p>
        </w:tc>
        <w:tc>
          <w:tcPr>
            <w:tcW w:w="6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b/>
              </w:rPr>
            </w:pPr>
            <w:r>
              <w:rPr>
                <w:b/>
              </w:rPr>
              <w:t>$</w:t>
            </w:r>
          </w:p>
        </w:tc>
        <w:tc>
          <w:tcPr>
            <w:tcW w:w="1231" w:type="dxa"/>
            <w:tcBorders/>
            <w:shd w:fill="CCEEFF" w:val="clear"/>
            <w:vAlign w:val="bottom"/>
          </w:tcPr>
          <w:p>
            <w:pPr>
              <w:pStyle w:val="TableContents"/>
              <w:bidi w:val="0"/>
              <w:spacing w:before="0" w:after="283"/>
              <w:jc w:val="right"/>
              <w:rPr>
                <w:b/>
              </w:rPr>
            </w:pPr>
            <w:r>
              <w:rPr>
                <w:b/>
              </w:rPr>
              <w:t>3,975</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2025, the post-acquisition results of operating subsidiaries acquired during 2025 contributed $10.9 million to Adjusted EBITDA. During the year ended December 31, 2024, the post-acquisition results of operating subsidiaries acquired during 2024 contributed $1.4 million to Adjusted EBITDA.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Teamshares evaluates its liquidity and capital resources in terms of its ability to meet the cash requirements of its operations, including working capital needs, capital expenditures, debt service, acquisitions and other contractual commitments, through cash flows from operations and other sources of financing. The Company’s business model was established with the expectation that substantial upfront investment and initially elevated interest costs would be necessary to build the infrastructure required to source, transition, and operate small businesses at scale. As a result, Teamshares has incurred cumulative net losses under GAAP as corporate-level expenses have historically exceeded earnings generated by its operating subsidiaries. As of March 31, 2026, we had $37.0 million of cash and cash equivalents and $11.2 million of restricted cash, including $9.2 million related to debt agreements ($6.8 million in debt service reserve accounts and $2.4 million in collection accounts) and $2.0 million related to self-insurance programs. Amounts in collection accounts in excess of current debt servicing needs are available for distribution to Teamshares. </w:t>
      </w:r>
    </w:p>
    <w:p>
      <w:pPr>
        <w:pStyle w:val="TextBody"/>
        <w:bidi w:val="0"/>
        <w:spacing w:before="240" w:after="0"/>
        <w:jc w:val="left"/>
        <w:rPr>
          <w:rFonts w:ascii="Times New Roman" w:hAnsi="Times New Roman"/>
          <w:sz w:val="20"/>
        </w:rPr>
      </w:pPr>
      <w:r>
        <w:rPr>
          <w:rFonts w:ascii="Times New Roman" w:hAnsi="Times New Roman"/>
          <w:sz w:val="20"/>
        </w:rPr>
        <w:t xml:space="preserve">Historically, Teamshares has funded its acquisition program through a combination of debt and equity financing. The debt financing primarily included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Credit Facilities—The Company’s historical debt financing has primarily consisted of diversified credit facilities including the i80 Facility, Sound Point Facility, and HBC Facility. The i80 facility provides debt financing based on the lower of (i) up to 95% of the Company’s investment in acquired businesses or (ii) 3.5x EBITDA of pledged businesses plus unrestricted cash, subject to eligibility criteria. As of March 31, 2026, the outstanding principal amount under the i80 Facility was $153.4 million; the aggregate principal amount and accrued interest (including PIK interest) under the i80 Facility comes due, if not previously repaid, refinanced or amended, on December 5, 2026. On December 24, 2025, the Company fully extinguished the Sound Point Facility with proceeds from the issuance of the HBC Facility. The HBC Facility was secured by the assets and equity interests of certain operating subsidiaries, including the equity interests previously pledged as collateral to the Sound Point facility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 certain subsidiaries acquired during the fourth quarter of 2025. As of March 31, 2026, the outstanding principal amount under the HBC Facility was $33.9 million. The aggregate principal amount and accrued interest under the HBC Facility was repaid in full contemporaneously with the consummation of the Business Combination. The credit facilities do not require principal payments prior to maturity; however, each credit facility contains covenants that may require the loans outstanding under that facility to be repaid prior to maturity if breached.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 Loans—The Company entered into single company term loans to finance certain acquisitions in 2025. The advance rates on acquisitions range from 35% to 67% and certain of these loans require payments related to the amortization of the principal balance prior to maturity. As of March 31, 2026, the principal amount of term loans outstanding was $59.2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Seller Notes—The Company primarily began utilizing seller notes in 2023. The seller notes are issued at the parent level of Teamshares Inc. and supplement the debt financing for acquisitions from credit facilities and term loans. The principal amount of seller notes as a percentage of total purchase consideration was 26%, 15% and 18% for the three months ended March 31, 2026 and years ended December 31, 2025 and 2024, respectively. The maturities range from 3 to 10 years and do not require principal payments prior to maturity. As of March 31, 2026, the principal amounts outstanding under seller notes were $30.7 million.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is actively pursuing opportunities to refinance the i80 Facility; however, any such refinancing would depend on market conditions and prospective lender perspectives on the creditworthiness of the Company. As a result, there can be no assurance that the Company will be able to obtain such financing on acceptable terms, or at all. The terms of any such refinancing could change our interest rate exposure and related sensitivity. Subject to these uncertainties, successful execution of the refinancing strategy is expected to enhance the Company’s overall liquidity profile, reduce financing costs, and strengthen its capacity to fund ongoing operations and strategic expansion initiatives. If the Company is not able to refinance the i80 Facility in the near-term, it expects to continue to fund acquisitions with a combination of single company term loans and seller notes (subject to availability of capital, taking into account the December 2026 i80 Facility repayment date). </w:t>
      </w:r>
    </w:p>
    <w:p>
      <w:pPr>
        <w:pStyle w:val="TextBody"/>
        <w:bidi w:val="0"/>
        <w:spacing w:before="240" w:after="0"/>
        <w:jc w:val="left"/>
        <w:rPr>
          <w:rFonts w:ascii="Times New Roman" w:hAnsi="Times New Roman"/>
          <w:sz w:val="20"/>
        </w:rPr>
      </w:pPr>
      <w:r>
        <w:rPr>
          <w:rFonts w:ascii="Times New Roman" w:hAnsi="Times New Roman"/>
          <w:sz w:val="20"/>
        </w:rPr>
        <w:t>The Company had approximately $215.7 million and $205.8 million of debt that will mature within the 12 months following March 31, 2026 and the date of our independent auditor’s report for the Company’s 2024 and 2025 financial statements (“</w:t>
      </w:r>
      <w:r>
        <w:rPr>
          <w:rFonts w:ascii="Times New Roman" w:hAnsi="Times New Roman"/>
          <w:b/>
          <w:sz w:val="20"/>
        </w:rPr>
        <w:t>2025 Audit Report Date</w:t>
      </w:r>
      <w:r>
        <w:rPr>
          <w:rFonts w:ascii="Times New Roman" w:hAnsi="Times New Roman"/>
          <w:sz w:val="20"/>
        </w:rPr>
        <w:t xml:space="preserve">”), respectively. Specifically, the i80 Facility matures on December 5, 2026, and the HBC Facility matured on the date on which the Business Combination was consummated. During May 2026, Live Oak and Teamshares entered into an agreement to extend the Outside Date to July 15, 2026. As of the date of this prospectus, the Company has not refinanced the i80, and since the facility will mature within a period less than twelve months after the issuance date of the accompanying consolidated financial statements, management has concluded there is substantial doubt regarding the Company’s ability to continue as a going concern within the 12-month period following the issuance of the financial statements for the interim period ending March 31, 2026 and the 2025 Audit Report Date. The Company’s existing liquidity and forecasted cash flows during such period are not sufficient to repay the Company’s existing indebtedness obligations. </w:t>
      </w:r>
    </w:p>
    <w:p>
      <w:pPr>
        <w:pStyle w:val="TextBody"/>
        <w:bidi w:val="0"/>
        <w:spacing w:before="240" w:after="0"/>
        <w:jc w:val="left"/>
        <w:rPr>
          <w:rFonts w:ascii="Times New Roman" w:hAnsi="Times New Roman"/>
          <w:sz w:val="20"/>
        </w:rPr>
      </w:pPr>
      <w:r>
        <w:rPr>
          <w:rFonts w:ascii="Times New Roman" w:hAnsi="Times New Roman"/>
          <w:sz w:val="20"/>
        </w:rPr>
        <w:t xml:space="preserve">Furthermore, as there is substantial doubt about the Company’s ability to continue as a going concern, the Company received a going concern qualification in connection with its audited financial statement for the years ended December 31, 2025 and 2024 that includes an explanatory paragraph expressing substantial doubt in the Company’s ability to continue as a going concern for one year from the 2025 Audit Report Date, which would result in a breach of a covenant under the i80 Facility unless waived by the lenders.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obtained waivers of such breaches from the lenders pursuant to the i80 Facility with respect to the covenant in connection with the going concern qualification contained in the Company’s audited financial statement for the years ended December 31, 2025 and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November 14, 2025, we entered into the Merger Agreement with Live Oak. Teamshares management expects the cash proceeds resulting from the Business Combination (after satisfaction of the HBC Facility repayment obligation) and deployment of such proceeds into accretive acquisitions of small businesses will strengthen the Company’s credit profile and improve its ability to obtain debt financing on attractive terms (provided, however, that a significant portion, if not all, of the proceeds from the Business Combination may be required to be used to repay the Company’s obligations under the i80 Credit Facility obligations unless the i80 Credit Facility can be repaid, refinanced or its terms amended prior to December 5,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Three Months Ended March 31, 2026 compared to Three Months Ended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cash flows for the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17"/>
        <w:gridCol w:w="362"/>
        <w:gridCol w:w="145"/>
        <w:gridCol w:w="688"/>
        <w:gridCol w:w="155"/>
        <w:gridCol w:w="362"/>
        <w:gridCol w:w="145"/>
        <w:gridCol w:w="821"/>
        <w:gridCol w:w="160"/>
      </w:tblGrid>
      <w:tr>
        <w:trPr/>
        <w:tc>
          <w:tcPr>
            <w:tcW w:w="4917"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17"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23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160" w:type="dxa"/>
            <w:tcBorders/>
            <w:vAlign w:val="bottom"/>
          </w:tcPr>
          <w:p>
            <w:pPr>
              <w:pStyle w:val="TableContents"/>
              <w:bidi w:val="0"/>
              <w:spacing w:before="0" w:after="283"/>
              <w:jc w:val="left"/>
              <w:rPr/>
            </w:pPr>
            <w:r>
              <w:rPr/>
              <w:t> </w:t>
            </w:r>
          </w:p>
        </w:tc>
      </w:tr>
      <w:tr>
        <w:trPr/>
        <w:tc>
          <w:tcPr>
            <w:tcW w:w="4917" w:type="dxa"/>
            <w:tcBorders/>
            <w:vAlign w:val="bottom"/>
          </w:tcPr>
          <w:p>
            <w:pPr>
              <w:pStyle w:val="TableContents"/>
              <w:bidi w:val="0"/>
              <w:spacing w:before="0" w:after="283"/>
              <w:jc w:val="left"/>
              <w:rPr>
                <w:b/>
              </w:rPr>
            </w:pPr>
            <w:r>
              <w:rPr>
                <w:b/>
              </w:rPr>
              <w:t>(in thousands)</w:t>
            </w:r>
          </w:p>
        </w:tc>
        <w:tc>
          <w:tcPr>
            <w:tcW w:w="362" w:type="dxa"/>
            <w:tcBorders/>
            <w:vAlign w:val="bottom"/>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49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(3,179</w:t>
            </w:r>
          </w:p>
        </w:tc>
        <w:tc>
          <w:tcPr>
            <w:tcW w:w="155"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(22,233</w:t>
            </w:r>
          </w:p>
        </w:tc>
        <w:tc>
          <w:tcPr>
            <w:tcW w:w="160" w:type="dxa"/>
            <w:tcBorders/>
            <w:shd w:fill="CCEEFF" w:val="clear"/>
            <w:vAlign w:val="bottom"/>
          </w:tcPr>
          <w:p>
            <w:pPr>
              <w:pStyle w:val="TableContents"/>
              <w:bidi w:val="0"/>
              <w:spacing w:before="0" w:after="283"/>
              <w:jc w:val="left"/>
              <w:rPr/>
            </w:pPr>
            <w:r>
              <w:rPr/>
              <w:t>) </w:t>
            </w:r>
          </w:p>
        </w:tc>
      </w:tr>
      <w:tr>
        <w:trPr/>
        <w:tc>
          <w:tcPr>
            <w:tcW w:w="4917"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(3,212</w:t>
            </w:r>
          </w:p>
        </w:tc>
        <w:tc>
          <w:tcPr>
            <w:tcW w:w="155"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21" w:type="dxa"/>
            <w:tcBorders/>
            <w:vAlign w:val="bottom"/>
          </w:tcPr>
          <w:p>
            <w:pPr>
              <w:pStyle w:val="TableContents"/>
              <w:bidi w:val="0"/>
              <w:spacing w:before="0" w:after="283"/>
              <w:jc w:val="right"/>
              <w:rPr/>
            </w:pPr>
            <w:r>
              <w:rPr/>
              <w:t>(10,613</w:t>
            </w:r>
          </w:p>
        </w:tc>
        <w:tc>
          <w:tcPr>
            <w:tcW w:w="160" w:type="dxa"/>
            <w:tcBorders/>
            <w:vAlign w:val="bottom"/>
          </w:tcPr>
          <w:p>
            <w:pPr>
              <w:pStyle w:val="TableContents"/>
              <w:bidi w:val="0"/>
              <w:spacing w:before="0" w:after="283"/>
              <w:jc w:val="left"/>
              <w:rPr/>
            </w:pPr>
            <w:r>
              <w:rPr/>
              <w:t>) </w:t>
            </w:r>
          </w:p>
        </w:tc>
      </w:tr>
      <w:tr>
        <w:trPr/>
        <w:tc>
          <w:tcPr>
            <w:tcW w:w="49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665</w:t>
            </w:r>
          </w:p>
        </w:tc>
        <w:tc>
          <w:tcPr>
            <w:tcW w:w="155"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13,984</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2026, net cash used in operating activities improved by $19.1 million compared to the three months ended March 31, 2025. The improvement in cash used in operating activities was primarily driven by acquisitions, improved organic performance and changes in working capital, partially offset by higher cash interest payments. The contributions from acquisitions reflects the Company’s strategy to acquire businesses with the ability to generate strong free cash flows. This was partially offset by an increase in cash interest payments of $1.4 million during the three months ended March 31, 2026 compared to the three months ended March 31, 2025 due to higher average outstanding borrowings to finance acquisitions. Also, changes in working capital increased Net Cash Used in Operating Activities by $9.0 million for the three months ended March 31, 2026 compared to a decrease of $7.6 million for the three months ended March 31, 2025. This was primarily due to the timing of receipts and payments related to corporate functions and operating subsidiaries.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an operating subsidiary acquired during the fourth quarter of 2025 collects a significant amount of customer deposits during the first fiscal quarter related to annual maintenance contracts that are billed in entirely in January, which provided $3.4 million of cash from operating activities during the three months ended March 31, 2026. Customer deposits are included in Deferred Revenue on the Consolidated Balance Sheets until they are recognized as revenue as services are performed over time.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2026, net cash used in investing activities decreased by $7.4 million compared to the three months ended March 31, 2025. Cash used for business acquisitions, net of cash acquired, was $1.4 million in the three months ended March 31, 2026, compared to $9.3 million for the three months ended March 31, 2025, reflecting the acquisition of one operating subsidiary during the three months ended March 31, 2026 compared to the acquisition of five operating subsidiaries during the three months ended March 31, 2025.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2026, net cash provided by financing activities decreased by $13.3 million compared to the three months ended March 31, 2025. For the three months ended March 31, 2026, cash provided by financing activities was $0.7 million, which consisted of $3.0 million of borrowings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HBC credit facility, the proceeds of which were used to finance the acquisition of an operating subsidiary, and $0.8 million of borrowings under other debt instruments, primarily vehicle and equipment loans at operating subsidiaries. These inflows were partially offset by $2.4 million of repayments of other debt instruments, primarily single company term loans. The Company also received proceeds of approximately $1.1 million from the issuance of SAFE Notes. Additional financing uses of cash during the three months ended March 31, 2026 included, $0.4 million of dividends paid to noncontrolling interests, $0.1 million of debt issuance costs, $0.5 million of contingent consideration payments related to earnouts for historical acquisitions, and $0.7 million related to acquisitions of noncontrolling interests, of which $0.5 million was related to repurchases of rollover equity held by former owners of operating subsidiaries.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March 31, 2025, cash provided by financing activities was $14.0 million, which primarily consisted of $2.9 million of borrowings under the Sound Point Facility, $10.9 million of borrowings under other debt instruments, primarily single company term loans and Teamshares Dependable Capital loans, and $1.0 million of net proceeds from the issuance of preferred stock in connection with the Company’s Series E financing. These inflows were partially offset by $0.1 million of repayments of other debt instruments, $0.2 million of dividends paid to noncontrolling interests, $0.1 million of contingent consideration payments related to earnouts for historical acquisitions, and $0.5 million related to acquisitions of noncontrolling interests, of which $0.1 million was related to repurchases of rollover equity held by former owners of operating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Year Ended December 31, 2025 compared to Year Ended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cash flows for the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62"/>
        <w:gridCol w:w="361"/>
        <w:gridCol w:w="147"/>
        <w:gridCol w:w="830"/>
        <w:gridCol w:w="157"/>
        <w:gridCol w:w="361"/>
        <w:gridCol w:w="147"/>
        <w:gridCol w:w="830"/>
        <w:gridCol w:w="160"/>
      </w:tblGrid>
      <w:tr>
        <w:trPr/>
        <w:tc>
          <w:tcPr>
            <w:tcW w:w="4762"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62"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4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60" w:type="dxa"/>
            <w:tcBorders/>
            <w:vAlign w:val="bottom"/>
          </w:tcPr>
          <w:p>
            <w:pPr>
              <w:pStyle w:val="TableContents"/>
              <w:bidi w:val="0"/>
              <w:spacing w:before="0" w:after="283"/>
              <w:jc w:val="left"/>
              <w:rPr/>
            </w:pPr>
            <w:r>
              <w:rPr/>
              <w:t> </w:t>
            </w:r>
          </w:p>
        </w:tc>
      </w:tr>
      <w:tr>
        <w:trPr/>
        <w:tc>
          <w:tcPr>
            <w:tcW w:w="4762" w:type="dxa"/>
            <w:tcBorders/>
            <w:vAlign w:val="bottom"/>
          </w:tcPr>
          <w:p>
            <w:pPr>
              <w:pStyle w:val="TableContents"/>
              <w:bidi w:val="0"/>
              <w:spacing w:before="0" w:after="283"/>
              <w:jc w:val="left"/>
              <w:rPr>
                <w:b/>
              </w:rPr>
            </w:pPr>
            <w:r>
              <w:rPr>
                <w:b/>
              </w:rPr>
              <w:t>(in thousands)</w:t>
            </w:r>
          </w:p>
        </w:tc>
        <w:tc>
          <w:tcPr>
            <w:tcW w:w="361"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7"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4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(38,029</w:t>
            </w:r>
          </w:p>
        </w:tc>
        <w:tc>
          <w:tcPr>
            <w:tcW w:w="157"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(42,414</w:t>
            </w:r>
          </w:p>
        </w:tc>
        <w:tc>
          <w:tcPr>
            <w:tcW w:w="160" w:type="dxa"/>
            <w:tcBorders/>
            <w:shd w:fill="CCEEFF" w:val="clear"/>
            <w:vAlign w:val="bottom"/>
          </w:tcPr>
          <w:p>
            <w:pPr>
              <w:pStyle w:val="TableContents"/>
              <w:bidi w:val="0"/>
              <w:spacing w:before="0" w:after="283"/>
              <w:jc w:val="left"/>
              <w:rPr/>
            </w:pPr>
            <w:r>
              <w:rPr/>
              <w:t>) </w:t>
            </w:r>
          </w:p>
        </w:tc>
      </w:tr>
      <w:tr>
        <w:trPr/>
        <w:tc>
          <w:tcPr>
            <w:tcW w:w="4762"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(57,345</w:t>
            </w:r>
          </w:p>
        </w:tc>
        <w:tc>
          <w:tcPr>
            <w:tcW w:w="157"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(38,606</w:t>
            </w:r>
          </w:p>
        </w:tc>
        <w:tc>
          <w:tcPr>
            <w:tcW w:w="160" w:type="dxa"/>
            <w:tcBorders/>
            <w:vAlign w:val="bottom"/>
          </w:tcPr>
          <w:p>
            <w:pPr>
              <w:pStyle w:val="TableContents"/>
              <w:bidi w:val="0"/>
              <w:spacing w:before="0" w:after="283"/>
              <w:jc w:val="left"/>
              <w:rPr/>
            </w:pPr>
            <w:r>
              <w:rPr/>
              <w:t>) </w:t>
            </w:r>
          </w:p>
        </w:tc>
      </w:tr>
      <w:tr>
        <w:trPr/>
        <w:tc>
          <w:tcPr>
            <w:tcW w:w="4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74,038</w:t>
            </w:r>
          </w:p>
        </w:tc>
        <w:tc>
          <w:tcPr>
            <w:tcW w:w="157"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82,926</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net cash used in operating activities decreased by $4.4 million compared to the year ended December 31, 2024. The improvement in cash used in operating activities was primarily driven by acquisitions and improved organic performance, partially offset by higher cash interest payments and changes in working capital. The contributions from acquisitions reflects the Company’s strategy to acquire businesses with the ability to generate strong free cash flows. The improvement in organic performance was due to strategic initiatives to improve profitability including pricing reviews, labor optimization and focusing on higher margins products and services. Also, organic performance benefited from the ceasing operations at certain underperforming operating subsidiaries. Despite the growth of the business driven by acquisitions, the Company was able to decrease corporate overhead and improve profitability through reductions in headcount by leveraging technology and refocusing its strategic priorities to achieve cost efficiencies. This was partially offset by an increase in cash interest payments of $2.5 million during the year ended December 31, 2025 compared to prior year due to higher average outstanding borrowings to finance the Company’s acquisition activity. Also, changes in working capital resulted in $4.0 million of outflows for the year ended December 31, 2025 compared to $8.1 million of inflows for the year ended December 31, 2024. This was primarily due to the timing of receipts and payments related to certain businesses with longer cycle projects, which includes several fixed-price construction businesses that have ceased operations.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net cash used in investing activities increased by $18.7 million compared to the year ended December 31, 2024. Cash used for business acquisitions was $81.5 million in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compared to $26.4 million in 2024, reflecting the acquisition of nine operating subsidiaries in 2025 compared to seven in the prior year. The increase in acquisition related cash outflows relative to the number of acquired businesses was primarily attributable to a larger average acquisition size in 2025, consistent with the shift in the Company’s strategy to pursue larger businesses relative to historical levels. The cash used in investing activities during the year ended December 31, 2025 was partially offset by $31.0 million of proceeds from the sale and leaseback of certain real estate properties.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net cash provided by financing activities decreased by $8.9 million compared to the year ended December 31, 2024. For the year ended December 31, 2025, cash provided by financing activities was $74.0 million, which consisted of $28.2 million of borrowings under credit facilities, primarily related to the HBC credit facility, the proceeds of which were used in part to repay the Sound Point credit facility, and $78.5 million of borrowings under other debt instruments, primarily single company term loans utilized to finance acquisitions. These inflows were partially offset by $27.0 million of repayments of credit facilities, including the extinguishment of the Barclays term loans, and $3.8 million of repayments of other debt instruments. The Company also received proceeds of approximately $3.0 million from the issuance of SAFE Notes and $1.4 million of net proceeds from the issuance of Series E preferred stock. Additional financing uses of cash in 2025 included $3.0 million related to acquisitions of noncontrolling interests, $1.3 million of dividends paid to noncontrolling interests, $1.4 million of debt issuance costs, and $0.5 million of contingent consideration payments related to earnouts for historical acquisitions.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2024, cash provided by financing activities was $82.9 million, which primarily consisted of $73.6 million of net proceeds from the issuance of preferred stock in connection with the Company’s Series E financing, $15.4 million of borrowings under the Company’s credit facilities, and $0.8 million of borrowings under other debt instruments. These inflows were partially offset by $0.5 million of repayments of other debt instruments, $3.4 million related to acquisitions of noncontrolling interests, $1.5 million of contingent consideration payments related to earnouts for historical acquisitions, and $1.4 million of dividends paid to noncontrolling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Borrowings and Equity Issuances (Indebtedness) </w:t>
      </w:r>
    </w:p>
    <w:p>
      <w:pPr>
        <w:pStyle w:val="TextBody"/>
        <w:bidi w:val="0"/>
        <w:spacing w:before="120" w:after="0"/>
        <w:jc w:val="left"/>
        <w:rPr>
          <w:rFonts w:ascii="Times New Roman" w:hAnsi="Times New Roman"/>
          <w:sz w:val="20"/>
        </w:rPr>
      </w:pPr>
      <w:r>
        <w:rPr>
          <w:rFonts w:ascii="Times New Roman" w:hAnsi="Times New Roman"/>
          <w:b/>
          <w:sz w:val="20"/>
        </w:rPr>
        <w:t>i80 Facility</w:t>
      </w:r>
      <w:r>
        <w:rPr>
          <w:rFonts w:ascii="Times New Roman" w:hAnsi="Times New Roman"/>
          <w:sz w:val="20"/>
        </w:rPr>
        <w:t xml:space="preserve">. The Company maintains a senior secured credit facility with i80 Group providing $150 million of total commitments, all of which was fully drawn as of March 31, 2026 and December 31, 2025 resulting in no remaining borrowing availability. Additionally, there is $3.4 million of additional principal as a result of PIK interest as of March 31, 2026 and December 31, 2025. Borrowings are secured by the assets and equity of the certain operating subsidiaries pledged as collateral. The facility requires a debt service reserve account, which held $6.4 million as of March 31, 2026 and December 31, 2025. Outstanding amounts bear interest at the lesser of SOFR plus 11% or 16%, with any excess accruing as PIK. The weighted-average interest rate was 14.7% and 15.2% as of March 31, 2026 and December 31, 2025, respectively. The i80 Facility matures December 5, 2026. </w:t>
      </w:r>
    </w:p>
    <w:p>
      <w:pPr>
        <w:pStyle w:val="TextBody"/>
        <w:bidi w:val="0"/>
        <w:spacing w:before="240" w:after="0"/>
        <w:jc w:val="left"/>
        <w:rPr>
          <w:rFonts w:ascii="Times New Roman" w:hAnsi="Times New Roman"/>
          <w:sz w:val="20"/>
        </w:rPr>
      </w:pPr>
      <w:r>
        <w:rPr>
          <w:rFonts w:ascii="Times New Roman" w:hAnsi="Times New Roman"/>
          <w:sz w:val="20"/>
        </w:rPr>
        <w:t xml:space="preserve">Covenants include maintaining minimum unrestricted and unencumbered cash of $5 million (inclusive of 50% of the debt service reserve account) and meeting minimum EBITDA and free cash flow yield thresholds for pledged businesses as well as a maximum leverage ratio. As of March 31, 2026 and December 31, 2025, the Company was in compliance with all covenants. </w:t>
      </w:r>
    </w:p>
    <w:p>
      <w:pPr>
        <w:pStyle w:val="TextBody"/>
        <w:bidi w:val="0"/>
        <w:spacing w:before="240" w:after="0"/>
        <w:jc w:val="left"/>
        <w:rPr>
          <w:rFonts w:ascii="Times New Roman" w:hAnsi="Times New Roman"/>
          <w:sz w:val="20"/>
        </w:rPr>
      </w:pPr>
      <w:r>
        <w:rPr>
          <w:rFonts w:ascii="Times New Roman" w:hAnsi="Times New Roman"/>
          <w:sz w:val="20"/>
        </w:rPr>
        <w:t xml:space="preserve">In March 2026, the Company entered into a waiver with Westmount Group LLC (formerly known as i80 Group LLC) pursuant to which Westmount Group LLC waived any event of default or breach of the i80 Facility that would otherwise arise as a result of the auditor’s report delivered in connection with the audited financial statement for the years ended December 31, 2025 and 2024 containing a “going concern” qualification or similar language relating to substantial doubt about the Company’s ability to continue as a going concern. After giving effect to the waiver, no event of default or default was continuing under the i80 Facility. All other provisions of the i80 Facility remain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Sound Point Facility</w:t>
      </w:r>
      <w:r>
        <w:rPr>
          <w:rFonts w:ascii="Times New Roman" w:hAnsi="Times New Roman"/>
          <w:sz w:val="20"/>
        </w:rPr>
        <w:t xml:space="preserve">. The Sound Point Facility was a senior secured term-loan facility with Sound Point Agency LLC originally providing $75 million of commitments, of which $3.7 million was drawn as of December 31, 2024. The Sound Point Facility was repaid in full in December 2025 using proceeds from the HBC Facility (described below). </w:t>
      </w:r>
    </w:p>
    <w:p>
      <w:pPr>
        <w:pStyle w:val="TextBody"/>
        <w:bidi w:val="0"/>
        <w:spacing w:before="240" w:after="0"/>
        <w:jc w:val="left"/>
        <w:rPr>
          <w:rFonts w:ascii="Times New Roman" w:hAnsi="Times New Roman"/>
          <w:sz w:val="20"/>
        </w:rPr>
      </w:pPr>
      <w:r>
        <w:rPr>
          <w:rFonts w:ascii="Times New Roman" w:hAnsi="Times New Roman"/>
          <w:b/>
          <w:sz w:val="20"/>
        </w:rPr>
        <w:t>HBC Credit Facility</w:t>
      </w:r>
      <w:r>
        <w:rPr>
          <w:rFonts w:ascii="Times New Roman" w:hAnsi="Times New Roman"/>
          <w:sz w:val="20"/>
        </w:rPr>
        <w:t xml:space="preserve">. On December 23, 2025, Teamshares and certain subsidiaries entered into a Credit Agreement with funds managed, advised, or sub-advised by JBA Asset Management LLC (as amended on March 2, 2026 and as may be further amended or supplemented from time to time, the “HBC Facility”), providing for a credit facility of up to $30.3 million with secured term loans to certain unencumbered subsidiaries. As additional consideration for entering into the HBC Facility, the Company agreed to pay HBC $1.0 million in cash, or at the Company’s election, an equivalent value of shares of common stock in New Teamshares, following the closing of the Business Combination. Teamshares drew the entirety of the amounts available under the HBC Facility during 2025, and the proceeds were primarily utilized to fund acquisitions, repay the Sound Point Facility, and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In March 2026, the HBC Credit Facility was amended to provide additional term loan commitments in an aggregate principal amount of $3.6 million. The Company received proceeds of $2.9 million and recognized a debt discount of $0.6 million and debt issuance costs of $0.1 million. The proceeds from this amendment were utilized to fund the acquisition that was completed during the three months ended March 31, 2026. </w:t>
      </w:r>
    </w:p>
    <w:p>
      <w:pPr>
        <w:pStyle w:val="TextBody"/>
        <w:bidi w:val="0"/>
        <w:spacing w:before="240" w:after="0"/>
        <w:jc w:val="left"/>
        <w:rPr>
          <w:rFonts w:ascii="Times New Roman" w:hAnsi="Times New Roman"/>
          <w:sz w:val="20"/>
        </w:rPr>
      </w:pPr>
      <w:r>
        <w:rPr>
          <w:rFonts w:ascii="Times New Roman" w:hAnsi="Times New Roman"/>
          <w:sz w:val="20"/>
        </w:rPr>
        <w:t xml:space="preserve">In March 2026, the Company entered into a waiver with HBC pursuant to which HBC waived any event of default or breach of the HBC Facility that would otherwise arise as a result of the auditor’s report delivered in connection with the audited financial statement for the years ended December 31, 2025 and 2024 containing a “going concern” qualification or similar language relating to substantial doubt about the Company’s ability to continue as a going concern. After giving effect to the waiver, no event of default or default was continuing under the HBC Facility. All other provisions of the HBC Facility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The HBC Facility matured on the date on which the Business Combination was consummated and was repaid in full using proceed from the Business Combination. </w:t>
      </w:r>
    </w:p>
    <w:p>
      <w:pPr>
        <w:pStyle w:val="TextBody"/>
        <w:bidi w:val="0"/>
        <w:spacing w:before="240" w:after="0"/>
        <w:jc w:val="left"/>
        <w:rPr>
          <w:rFonts w:ascii="Times New Roman" w:hAnsi="Times New Roman"/>
          <w:sz w:val="20"/>
        </w:rPr>
      </w:pPr>
      <w:r>
        <w:rPr>
          <w:rFonts w:ascii="Times New Roman" w:hAnsi="Times New Roman"/>
          <w:b/>
          <w:sz w:val="20"/>
        </w:rPr>
        <w:t>Seller Notes</w:t>
      </w:r>
      <w:r>
        <w:rPr>
          <w:rFonts w:ascii="Times New Roman" w:hAnsi="Times New Roman"/>
          <w:sz w:val="20"/>
        </w:rPr>
        <w:t xml:space="preserve">. In connection with certain acquisitions, the Company issues unsecured seller notes, which bear fixed interest between 5% and 12% and mature between 2026 and 2031. As of March 31, 2026 and December 31, 2025, the Company had seller notes with principal amounts outstanding of $30.7 million and $29.8 million, respectively. As of March 31, 2026 and December 31, 2025, respectively, the weighted average interest rates on seller notes were 7.0% and 7.1%. </w:t>
      </w:r>
    </w:p>
    <w:p>
      <w:pPr>
        <w:pStyle w:val="TextBody"/>
        <w:bidi w:val="0"/>
        <w:spacing w:before="240" w:after="0"/>
        <w:jc w:val="left"/>
        <w:rPr>
          <w:rFonts w:ascii="Times New Roman" w:hAnsi="Times New Roman"/>
          <w:sz w:val="20"/>
        </w:rPr>
      </w:pPr>
      <w:r>
        <w:rPr>
          <w:rFonts w:ascii="Times New Roman" w:hAnsi="Times New Roman"/>
          <w:b/>
          <w:sz w:val="20"/>
        </w:rPr>
        <w:t>Simple Agreement for Future Equity</w:t>
      </w:r>
      <w:r>
        <w:rPr>
          <w:rFonts w:ascii="Times New Roman" w:hAnsi="Times New Roman"/>
          <w:sz w:val="20"/>
        </w:rPr>
        <w:t xml:space="preserve">. In connection with its interim financing activities, the Company issued the Teamshares SAFEs to the SAFE Investors for an aggregate amount of approximately $6.3 million, of which $3.0 million was issued in 2025, $1.1 million was issued in January 2026, $1.3 million was issued in April 2026, and $1.0 million was issued in May 2026 representing rights to receive shares of Common Stock upon the occurrence of specified conversion events. Upon the consummation of the Business Combination, the Teamshares SAFEs will convert into an aggregate of 751,343 SAFE Investor New Teamshares Shares (inclusive of 63,300 SAFE Investor Founder Shares). </w:t>
      </w:r>
    </w:p>
    <w:p>
      <w:pPr>
        <w:pStyle w:val="TextBody"/>
        <w:bidi w:val="0"/>
        <w:spacing w:before="240" w:after="0"/>
        <w:jc w:val="left"/>
        <w:rPr>
          <w:rFonts w:ascii="Times New Roman" w:hAnsi="Times New Roman"/>
          <w:sz w:val="20"/>
        </w:rPr>
      </w:pPr>
      <w:r>
        <w:rPr>
          <w:rFonts w:ascii="Times New Roman" w:hAnsi="Times New Roman"/>
          <w:b/>
          <w:sz w:val="20"/>
        </w:rPr>
        <w:t>Single Company Term Loans</w:t>
      </w:r>
      <w:r>
        <w:rPr>
          <w:rFonts w:ascii="Times New Roman" w:hAnsi="Times New Roman"/>
          <w:sz w:val="20"/>
        </w:rPr>
        <w:t xml:space="preserve">. Teamshares’ subsidiaries also maintain several term loans with regional banks that bear interest at market-based rates ranging from 3% to 12% and contain customary financial and liquidity covenants. As of March 31, 2026 and December 31, 2025, the weighted average interest rate on Single Company Term Loans was 7.2% and 6.8%, respectively. As of March 31, 2026 and December 31, 2025, respectively, the Company had $59.2 million and $61.5 million principal outstanding related to these instruments. </w:t>
      </w:r>
    </w:p>
    <w:p>
      <w:pPr>
        <w:pStyle w:val="TextBody"/>
        <w:bidi w:val="0"/>
        <w:spacing w:before="240" w:after="0"/>
        <w:jc w:val="left"/>
        <w:rPr>
          <w:rFonts w:ascii="Times New Roman" w:hAnsi="Times New Roman"/>
          <w:sz w:val="20"/>
        </w:rPr>
      </w:pPr>
      <w:r>
        <w:rPr>
          <w:rFonts w:ascii="Times New Roman" w:hAnsi="Times New Roman"/>
          <w:b/>
          <w:sz w:val="20"/>
        </w:rPr>
        <w:t>Other Debt Financing</w:t>
      </w:r>
      <w:r>
        <w:rPr>
          <w:rFonts w:ascii="Times New Roman" w:hAnsi="Times New Roman"/>
          <w:sz w:val="20"/>
        </w:rPr>
        <w:t xml:space="preserve">. During 2025, Teamshares Dependable Capital LLC, a wholly owned subsidiary of Teamshares Inc., entered into loan agreements providing net proceeds of $15.4 million and resulting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issuance of 15,558 warrants with a strike price consistent with the Series E preferred share issuance. The loans bear interest at 12% in cash plus 6% PIK, mature on June 30, 2027, may be prepaid subject to a 3% fee. </w:t>
      </w:r>
    </w:p>
    <w:p>
      <w:pPr>
        <w:pStyle w:val="TextBody"/>
        <w:bidi w:val="0"/>
        <w:spacing w:before="240" w:after="0"/>
        <w:jc w:val="left"/>
        <w:rPr>
          <w:rFonts w:ascii="Times New Roman" w:hAnsi="Times New Roman"/>
          <w:sz w:val="20"/>
        </w:rPr>
      </w:pPr>
      <w:r>
        <w:rPr>
          <w:rFonts w:ascii="Times New Roman" w:hAnsi="Times New Roman"/>
          <w:sz w:val="20"/>
        </w:rPr>
        <w:t xml:space="preserve">Certain real estate holding subsidiaries of Teamshares entered into a loan agreement under which $17.7 million was outstanding as of December 31, 2024. The loans accrued interest at 7.6% per annum with a maturity date of July 6, 2028. The Company sold certain of its real estate holdings in August 2025 and extinguished the loan agreement in full.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Company’s operating subsidiaries have various loans for vehicles and equipment used in the normal course of business. The terms are generally five to six years in length and the loans bear interest at agreed upon rates. The loans require monthly principal and interest payments to be made for each vehicle. As of March 31, 2026 and December 31, 2025, respectively, there was $5.0 million and $4.8 million of vehicle and equipment loans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and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the maturity profile of the Company’s contractual obligations and commitments as of March 31,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94"/>
        <w:gridCol w:w="167"/>
        <w:gridCol w:w="140"/>
        <w:gridCol w:w="811"/>
        <w:gridCol w:w="60"/>
        <w:gridCol w:w="167"/>
        <w:gridCol w:w="140"/>
        <w:gridCol w:w="811"/>
        <w:gridCol w:w="60"/>
        <w:gridCol w:w="167"/>
        <w:gridCol w:w="140"/>
        <w:gridCol w:w="680"/>
        <w:gridCol w:w="60"/>
        <w:gridCol w:w="167"/>
        <w:gridCol w:w="140"/>
        <w:gridCol w:w="680"/>
        <w:gridCol w:w="60"/>
        <w:gridCol w:w="167"/>
        <w:gridCol w:w="140"/>
        <w:gridCol w:w="679"/>
        <w:gridCol w:w="60"/>
        <w:gridCol w:w="167"/>
        <w:gridCol w:w="140"/>
        <w:gridCol w:w="680"/>
        <w:gridCol w:w="60"/>
        <w:gridCol w:w="167"/>
        <w:gridCol w:w="167"/>
        <w:gridCol w:w="965"/>
        <w:gridCol w:w="69"/>
      </w:tblGrid>
      <w:tr>
        <w:trPr/>
        <w:tc>
          <w:tcPr>
            <w:tcW w:w="229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294" w:type="dxa"/>
            <w:tcBorders/>
            <w:vAlign w:val="bottom"/>
          </w:tcPr>
          <w:p>
            <w:pPr>
              <w:pStyle w:val="TableContents"/>
              <w:bidi w:val="0"/>
              <w:spacing w:before="0" w:after="283"/>
              <w:jc w:val="left"/>
              <w:rPr>
                <w:b/>
                <w:i/>
              </w:rPr>
            </w:pPr>
            <w:r>
              <w:rPr>
                <w:b/>
                <w:i/>
              </w:rPr>
              <w:t>(in thousands)</w:t>
            </w:r>
          </w:p>
        </w:tc>
        <w:tc>
          <w:tcPr>
            <w:tcW w:w="167"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2031 &amp;</w:t>
              <w:br/>
              <w:t>Thereafter</w:t>
            </w:r>
          </w:p>
        </w:tc>
        <w:tc>
          <w:tcPr>
            <w:tcW w:w="69" w:type="dxa"/>
            <w:tcBorders/>
            <w:vAlign w:val="bottom"/>
          </w:tcPr>
          <w:p>
            <w:pPr>
              <w:pStyle w:val="TableContents"/>
              <w:bidi w:val="0"/>
              <w:spacing w:before="0" w:after="283"/>
              <w:jc w:val="left"/>
              <w:rPr/>
            </w:pPr>
            <w:r>
              <w:rPr/>
              <w:t> </w:t>
            </w:r>
          </w:p>
        </w:tc>
      </w:tr>
      <w:tr>
        <w:trPr/>
        <w:tc>
          <w:tcPr>
            <w:tcW w:w="2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Debt obligations</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308,574</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215,150</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20,978</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10,713</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9" w:type="dxa"/>
            <w:tcBorders/>
            <w:shd w:fill="CCEEFF" w:val="clear"/>
            <w:vAlign w:val="bottom"/>
          </w:tcPr>
          <w:p>
            <w:pPr>
              <w:pStyle w:val="TableContents"/>
              <w:bidi w:val="0"/>
              <w:spacing w:before="0" w:after="283"/>
              <w:jc w:val="right"/>
              <w:rPr/>
            </w:pPr>
            <w:r>
              <w:rPr/>
              <w:t>13,139</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42,183</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6,412</w:t>
            </w:r>
          </w:p>
        </w:tc>
        <w:tc>
          <w:tcPr>
            <w:tcW w:w="69" w:type="dxa"/>
            <w:tcBorders/>
            <w:shd w:fill="CCEEFF" w:val="clear"/>
            <w:vAlign w:val="bottom"/>
          </w:tcPr>
          <w:p>
            <w:pPr>
              <w:pStyle w:val="TableContents"/>
              <w:bidi w:val="0"/>
              <w:spacing w:before="0" w:after="283"/>
              <w:jc w:val="left"/>
              <w:rPr/>
            </w:pPr>
            <w:r>
              <w:rPr/>
              <w:t> </w:t>
            </w:r>
          </w:p>
        </w:tc>
      </w:tr>
      <w:tr>
        <w:trPr/>
        <w:tc>
          <w:tcPr>
            <w:tcW w:w="2294"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1,657</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451</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513</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385</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262</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2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215,914</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15,621</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19,790</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19,207</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18,061</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16,874</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126,361</w:t>
            </w:r>
          </w:p>
        </w:tc>
        <w:tc>
          <w:tcPr>
            <w:tcW w:w="69" w:type="dxa"/>
            <w:tcBorders/>
            <w:shd w:fill="CCEEFF" w:val="clear"/>
            <w:vAlign w:val="bottom"/>
          </w:tcPr>
          <w:p>
            <w:pPr>
              <w:pStyle w:val="TableContents"/>
              <w:bidi w:val="0"/>
              <w:spacing w:before="0" w:after="283"/>
              <w:jc w:val="left"/>
              <w:rPr/>
            </w:pPr>
            <w:r>
              <w:rPr/>
              <w:t> </w:t>
            </w:r>
          </w:p>
        </w:tc>
      </w:tr>
      <w:tr>
        <w:trPr/>
        <w:tc>
          <w:tcPr>
            <w:tcW w:w="2294"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liabilities1</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14,208</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4,100</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3,283</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1,940</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932</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1,255</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2,698</w:t>
            </w:r>
          </w:p>
        </w:tc>
        <w:tc>
          <w:tcPr>
            <w:tcW w:w="69" w:type="dxa"/>
            <w:tcBorders/>
            <w:vAlign w:val="bottom"/>
          </w:tcPr>
          <w:p>
            <w:pPr>
              <w:pStyle w:val="TableContents"/>
              <w:bidi w:val="0"/>
              <w:spacing w:before="0" w:after="283"/>
              <w:jc w:val="left"/>
              <w:rPr/>
            </w:pPr>
            <w:r>
              <w:rPr/>
              <w:t> </w:t>
            </w:r>
          </w:p>
        </w:tc>
      </w:tr>
      <w:tr>
        <w:trPr/>
        <w:tc>
          <w:tcPr>
            <w:tcW w:w="2294"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2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11" w:type="dxa"/>
            <w:tcBorders/>
            <w:shd w:fill="CCEEFF" w:val="clear"/>
            <w:vAlign w:val="bottom"/>
          </w:tcPr>
          <w:p>
            <w:pPr>
              <w:pStyle w:val="TableContents"/>
              <w:bidi w:val="0"/>
              <w:spacing w:before="0" w:after="283"/>
              <w:jc w:val="right"/>
              <w:rPr>
                <w:b/>
              </w:rPr>
            </w:pPr>
            <w:r>
              <w:rPr>
                <w:b/>
              </w:rPr>
              <w:t>540,353</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11" w:type="dxa"/>
            <w:tcBorders/>
            <w:shd w:fill="CCEEFF" w:val="clear"/>
            <w:vAlign w:val="bottom"/>
          </w:tcPr>
          <w:p>
            <w:pPr>
              <w:pStyle w:val="TableContents"/>
              <w:bidi w:val="0"/>
              <w:spacing w:before="0" w:after="283"/>
              <w:jc w:val="right"/>
              <w:rPr>
                <w:b/>
              </w:rPr>
            </w:pPr>
            <w:r>
              <w:rPr>
                <w:b/>
              </w:rPr>
              <w:t>235,323</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44,563</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32,243</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79" w:type="dxa"/>
            <w:tcBorders/>
            <w:shd w:fill="CCEEFF" w:val="clear"/>
            <w:vAlign w:val="bottom"/>
          </w:tcPr>
          <w:p>
            <w:pPr>
              <w:pStyle w:val="TableContents"/>
              <w:bidi w:val="0"/>
              <w:spacing w:before="0" w:after="283"/>
              <w:jc w:val="right"/>
              <w:rPr>
                <w:b/>
              </w:rPr>
            </w:pPr>
            <w:r>
              <w:rPr>
                <w:b/>
              </w:rPr>
              <w:t>32,394</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60,357</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b/>
              </w:rPr>
            </w:pPr>
            <w:r>
              <w:rPr>
                <w:b/>
              </w:rPr>
              <w:t>$</w:t>
            </w:r>
          </w:p>
        </w:tc>
        <w:tc>
          <w:tcPr>
            <w:tcW w:w="965" w:type="dxa"/>
            <w:tcBorders/>
            <w:shd w:fill="CCEEFF" w:val="clear"/>
            <w:vAlign w:val="bottom"/>
          </w:tcPr>
          <w:p>
            <w:pPr>
              <w:pStyle w:val="TableContents"/>
              <w:bidi w:val="0"/>
              <w:spacing w:before="0" w:after="283"/>
              <w:jc w:val="right"/>
              <w:rPr>
                <w:b/>
              </w:rPr>
            </w:pPr>
            <w:r>
              <w:rPr>
                <w:b/>
              </w:rPr>
              <w:t>135,471</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long-term liabilities include: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Redeemable Noncontrolling Interest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Certain former owners who retained approximately 10% equity interests in connection with historical acquisitions, hold put options that permit them to require Teamshares to repurchase their remaining interests in the applicable subsidiaries. Teamshares discontinued the inclusion of rollover equity as part of purchase consideration for acquisitions during 2023; therefore, the impact of rollover equity on our contractual obligations and commitments is expected to decrease in future periods as we continue to repurchase these shares. As of March 31, 2026, the remaining amounts owed under these arrangements totaled $1.8 million, and all of the put options held by former owners are currently exercisable.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Contingent Consideration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contingent consideration liabilities related to earnout agreements in certain of its business acquisitions. The terms of the earnout agreements vary but typically consist of a payout equal to a future percentage of a financial metric (i.e., revenue or profitability measure) for a determined period of time. Contingent consideration is included in the table above at its undiscounted estimated value. As of March 31, 2026, the fair value of the contingent consideration liability related to the earnout agreements was $8.4 million.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Our consolidated financial statements have been prepared in accordance with GAAP, which requires us to make estimates and assumptions that affect the reported amounts of assets and liabilities and the reported amounts of revenues and expenses as of and during the reporting period, respectively. Our estimates are based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historical experience, current conditions, and various other assumptions that we believe to be reasonable under the circumstances. We evaluate our critical estimates and assumptions on an ongoing basis.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The critical accounting estimates, assumptions, and judgments that we believe to have the most significant impact on our consolidated financial statements are described below. This discussion is provided to supplement the descriptions of our accounting policies contained in Note 2, “</w:t>
      </w:r>
      <w:r>
        <w:rPr>
          <w:rFonts w:ascii="Times New Roman" w:hAnsi="Times New Roman"/>
          <w:i/>
          <w:sz w:val="20"/>
        </w:rPr>
        <w:t>Summary of Significant Accounting Policies</w:t>
      </w:r>
      <w:r>
        <w:rPr>
          <w:rFonts w:ascii="Times New Roman" w:hAnsi="Times New Roman"/>
          <w:sz w:val="20"/>
        </w:rPr>
        <w:t xml:space="preserve">” to our audited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business combinations using the acquisition method of accounting described in ASC Topic 805, Business Combinations. In accordance with GAAP, the results of the acquisitions we have completed are reflected in our consolidated financial statements from the date of acquisition forward. </w:t>
      </w:r>
    </w:p>
    <w:p>
      <w:pPr>
        <w:pStyle w:val="TextBody"/>
        <w:bidi w:val="0"/>
        <w:spacing w:before="240" w:after="0"/>
        <w:jc w:val="left"/>
        <w:rPr>
          <w:rFonts w:ascii="Times New Roman" w:hAnsi="Times New Roman"/>
          <w:sz w:val="20"/>
        </w:rPr>
      </w:pPr>
      <w:r>
        <w:rPr>
          <w:rFonts w:ascii="Times New Roman" w:hAnsi="Times New Roman"/>
          <w:sz w:val="20"/>
        </w:rPr>
        <w:t xml:space="preserve">We allocate the purchase consideration paid to acquire the business to the assets and liabilities acquired based on estimated fair values at the acquisition date, with the excess of purchase price over the estimated fair value of the net assets acquired recorded as goodwill. Fair value estimates are based on available historical information and assumptions deemed reasonable by management, but are inherently uncertain and, as a result, actual results may differ from estimates. Significant judgment is required to estimate the fair value of intangible assets and in assigning their respective useful lives. Intangible assets acquired in business combinations primarily consist of trade names and customer-related intangible assets. The acquired target company’s trade name represents its portfolio of marketing intangible assets. The Company values trade name intangibles using a benchmarking method. Acquired trade names are amortized over a 10 year useful life using the straight-line amortization method. Customer-related intangible assets consist of contractual and non-contractual customer relationships. The Company estimates the fair values of acquired customer-related intangible assets as of their acquisition dates using an income approach. Acquired customer-related intangible assets are amortized over their estimated useful lives using the straight-line amortization method. </w:t>
      </w:r>
    </w:p>
    <w:p>
      <w:pPr>
        <w:pStyle w:val="TextBody"/>
        <w:bidi w:val="0"/>
        <w:spacing w:before="240" w:after="0"/>
        <w:jc w:val="left"/>
        <w:rPr>
          <w:rFonts w:ascii="Times New Roman" w:hAnsi="Times New Roman"/>
          <w:sz w:val="20"/>
        </w:rPr>
      </w:pPr>
      <w:r>
        <w:rPr>
          <w:rFonts w:ascii="Times New Roman" w:hAnsi="Times New Roman"/>
          <w:sz w:val="20"/>
        </w:rPr>
        <w:t xml:space="preserve">In certain acquisitions, consideration includes seller notes and/or contingent consideration in the form of earnout arrangements. The fair value of the seller notes and earnouts are calculated at acquisition date and included in the total purchase price. The fair value of seller notes is considered Level 3 in the fair value hierarchy due to pricing inputs that are less observable in the marketplace combined with management judgment required for the assumptions underlying the calculation of value. The interest rate on seller notes generally differs from current market yields, and therefore the fair value of seller notes is generally less than the face amount. Management estimates the fair value of the seller notes using a discounted cash flow analysis which includes both company specific factors and market based data. </w:t>
      </w:r>
    </w:p>
    <w:p>
      <w:pPr>
        <w:pStyle w:val="TextBody"/>
        <w:bidi w:val="0"/>
        <w:spacing w:before="240" w:after="0"/>
        <w:jc w:val="left"/>
        <w:rPr>
          <w:rFonts w:ascii="Times New Roman" w:hAnsi="Times New Roman"/>
          <w:sz w:val="20"/>
        </w:rPr>
      </w:pPr>
      <w:r>
        <w:rPr>
          <w:rFonts w:ascii="Times New Roman" w:hAnsi="Times New Roman"/>
          <w:sz w:val="20"/>
        </w:rPr>
        <w:t xml:space="preserve">In general, the earnout arrangements require the Company to make payments to the former owner based on the performance of the business (typically related to a percentage of revenue or a specified profitability metric) for a specific period of time subsequent to the acquisition. The fair value of the earnouts is measured at acquisition date and remeasured each reporting period and is classified as Level 3 within the fair value hierarchy due to the significant judgment required in determining the inputs. Management estimates the fair value of the earnouts using a Monte Carlo simulation model. The Monte Carlo simulation model uses inputs and assumptions to measure the fair value of the contingent consideration that includes metric volatility, risk-free rate, metric discount rate, and Teamshares’ discount rate. Because the calculation relies on management’s judgment and forward-looking estimates, the valuation of contingent consideration involves inherent uncertainty and can impact the Company’s results of operations and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Amounts recorded in a business combination may change during the measurement period, which is a period not to exceed one year from the date of acquisition, as additional information about conditions existing at the acquisition date becomes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revenue as it transfers control of products and services to its customers in an amount reflecting the total consideration it expects to receive from the customers. The Company recognizes revenue from product sales when control of tangible products transfers to customers, which coincides with customer acceptance, product shipment, or product delivery, depending on the terms of the arrangement. Transfer of control occurs when legal title, physical possession, and the risks and rewards of ownership transfer to the customer. </w:t>
      </w:r>
    </w:p>
    <w:p>
      <w:pPr>
        <w:pStyle w:val="TextBody"/>
        <w:bidi w:val="0"/>
        <w:spacing w:before="240" w:after="0"/>
        <w:jc w:val="left"/>
        <w:rPr>
          <w:rFonts w:ascii="Times New Roman" w:hAnsi="Times New Roman"/>
          <w:sz w:val="20"/>
        </w:rPr>
      </w:pPr>
      <w:r>
        <w:rPr>
          <w:rFonts w:ascii="Times New Roman" w:hAnsi="Times New Roman"/>
          <w:sz w:val="20"/>
        </w:rPr>
        <w:t xml:space="preserve">The Company generally recognizes revenue from the sale of services as the services are performed over time, which corresponds with the transfer of control to the customer. The right to invoice practical expedient is utilized when the Company’s right to consideration corresponds directly with the value transferred to the customer. The Company is not required to estimate variable consideration when the right to invoice practical expedient is utilized. When the practical expedient is not available, revenue is recognized over time using a measure of progress that accurately depicts the Company’s performance in transferring control of the promised goods or services, generally with a cost-to-cost input method.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We determine if an arrangement is a lease at inception for arrangements with an initial term of more than 12 months and classify it as either a finance or operating lease. A right of use (“ROU”) asset and lease liability is recorded based on the present value of the Company’s estimated future minimum lease payments over the lease term. Lease terms may include options to extend when it is reasonably certain that the Company will exercise that option. These judgments may produce materially different amounts of depreciation, amortization, and rent expense than would be reported if different assumed lease terms were used. If a lease does not provide enough information to determine the implicit interest rate in the agreements, the Company uses its incremental borrowing rate in calculating the lease liability. The incremental borrowing rate is estimated using the borrowing rate on the Company’s debt instruments and movements in the average spread on comparable publicly traded corporate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Goodwill Impairment </w:t>
      </w:r>
    </w:p>
    <w:p>
      <w:pPr>
        <w:pStyle w:val="TextBody"/>
        <w:bidi w:val="0"/>
        <w:spacing w:before="120" w:after="0"/>
        <w:jc w:val="left"/>
        <w:rPr>
          <w:rFonts w:ascii="Times New Roman" w:hAnsi="Times New Roman"/>
          <w:sz w:val="20"/>
        </w:rPr>
      </w:pPr>
      <w:r>
        <w:rPr>
          <w:rFonts w:ascii="Times New Roman" w:hAnsi="Times New Roman"/>
          <w:sz w:val="20"/>
        </w:rPr>
        <w:t xml:space="preserve">Goodwill represents the excess of the purchase price over the fair value of acquired tangible assets and liabilities and identifiable intangible assets. The Company assesses goodwill for impairment annually during the fourth quarter of the fiscal year and whenever an event occurs or circumstances change that would indicate that the carrying amount of goodwill may be impaired. Impairment testing for goodwill is performed at a reporting unit level. The impairment assessment involves both qualitative and quantitative analyses and requires significant judgment and estimates regarding future performance, market conditions, and fair value. </w:t>
      </w:r>
    </w:p>
    <w:p>
      <w:pPr>
        <w:pStyle w:val="TextBody"/>
        <w:bidi w:val="0"/>
        <w:spacing w:before="240" w:after="0"/>
        <w:jc w:val="left"/>
        <w:rPr>
          <w:rFonts w:ascii="Times New Roman" w:hAnsi="Times New Roman"/>
          <w:sz w:val="20"/>
        </w:rPr>
      </w:pPr>
      <w:r>
        <w:rPr>
          <w:rFonts w:ascii="Times New Roman" w:hAnsi="Times New Roman"/>
          <w:sz w:val="20"/>
        </w:rPr>
        <w:t xml:space="preserve">The qualitative evaluation is an assessment of factors to determine whether it is more likely than not that a reporting unit’s fair value is less than its carrying amount. The qualitative assessment of each reporting unit, includes review of financial performance trends, profitability relative to net assets, and operational indicators. Reporting units that exhibit sustained losses or returns below thresholds established from historical acquisition multiples undergo further review, including a turnaround analysis to assess early signs of operational recovery and a broader qualitative evaluation of internal and external factors. </w:t>
      </w:r>
    </w:p>
    <w:p>
      <w:pPr>
        <w:pStyle w:val="TextBody"/>
        <w:bidi w:val="0"/>
        <w:spacing w:before="240" w:after="0"/>
        <w:jc w:val="left"/>
        <w:rPr>
          <w:rFonts w:ascii="Times New Roman" w:hAnsi="Times New Roman"/>
          <w:sz w:val="20"/>
        </w:rPr>
      </w:pPr>
      <w:r>
        <w:rPr>
          <w:rFonts w:ascii="Times New Roman" w:hAnsi="Times New Roman"/>
          <w:sz w:val="20"/>
        </w:rPr>
        <w:t xml:space="preserve">For reporting units identified as potentially impaired, management performs a quantitative impairment test, comparing the estimated fair value of the unit, based on market and earnings multiple approaches, to its carrying amount. If the carrying amount exceeds fair value, an impairment charge is recognized to reduce goodwill to its implied fair value. This step requires management to make estimates about future cash flows, earnings, and market multiples, which inherently involve uncertainty and judgment. </w:t>
      </w:r>
    </w:p>
    <w:p>
      <w:pPr>
        <w:pStyle w:val="TextBody"/>
        <w:bidi w:val="0"/>
        <w:spacing w:before="240" w:after="0"/>
        <w:jc w:val="left"/>
        <w:rPr>
          <w:rFonts w:ascii="Times New Roman" w:hAnsi="Times New Roman"/>
          <w:sz w:val="20"/>
        </w:rPr>
      </w:pPr>
      <w:r>
        <w:rPr>
          <w:rFonts w:ascii="Times New Roman" w:hAnsi="Times New Roman"/>
          <w:sz w:val="20"/>
        </w:rPr>
        <w:t xml:space="preserve">The results of these assessments directly affect our reported financial position and results of operations. Changes in assumptions, economic conditions, or operational performance could lead to materially different impairment conclusions in future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issues stock-based awards, including stock options and restricted stock, to employees of its parent company and certain operating subsidiaries. The grant-date fair value of these awards is used to measure the cost of services received, and expense is recognized over the requisite service period.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stock options is estimated using the Black-Scholes option-pricing model, while restricted stock is valued based on the fair value of common shares on the grant date. These valuations require management to make significant estimates and assumptions, including expected volatility, expected term, risk-free interest rates, and dividend yield. The assumptions used in the Black-Scholes option-pricing model represent our best estimates and involve a number of variables, uncertainties and assumptions and the application of management’s judgment, as they are inherently subjective. </w:t>
      </w:r>
    </w:p>
    <w:p>
      <w:pPr>
        <w:pStyle w:val="TextBody"/>
        <w:bidi w:val="0"/>
        <w:spacing w:before="240" w:after="0"/>
        <w:jc w:val="left"/>
        <w:rPr>
          <w:rFonts w:ascii="Times New Roman" w:hAnsi="Times New Roman"/>
          <w:sz w:val="20"/>
        </w:rPr>
      </w:pPr>
      <w:r>
        <w:rPr>
          <w:rFonts w:ascii="Times New Roman" w:hAnsi="Times New Roman"/>
          <w:sz w:val="20"/>
        </w:rPr>
        <w:t xml:space="preserve">To estimate the value of restricted stock awards granted to employees of operating subsidiaries, the Company generally utilizes a market approach to value awards granted within a reasonable time frame from the respective acquisition date for each operating subsidiary. The Company estimates the enterprise value by calibrating to the transaction price paid by the Company. For subsequent awards granted, the Company generally considers both the market approach and the income approach in concluding on an enterprise value. The fair value of the restricted stock grant is estimated by allocating enterprise value across one or more probability-weighted scenarios with an option-pricing model used to estimate the allocation of value within at least one of these scenarios.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Accounting for income taxes requires significant judgment in evaluating the realizability of deferred tax assets and in assessing uncertain tax positions. Deferred tax assets and liabilities are recognized for differences between the financial reporting and tax bases of assets and liabilities, measured using enacted tax rates expected to apply when such differences are realized or settled. The determination of deferred tax assets, including the need for and amount of any valuation allowance, involves significant judgment. In evaluating the realizability of deferred tax assets, we consider multiple factors, including, but not limited to, a history of losses in prior years, future reversal of existing temporary differences and tax planning strategies. Due to changes in facts and circumstances and the estimates and judgments that are involved in determining the proper valuation allowance, differences between actual future events and prior estimates and judgments could result in adjustments to this valuation allowance.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ability to utilize certain deferred tax assets, including net operating loss carryforwards and tax credits, is subject to annual limitations under Section 382 of the Code. These limitations may affect the timing of when such attributes can be realized. We will continue to evaluate all available evidence and will adjust the valuation allowance in future periods if and when sufficient positive evidence exists to support the realization of deferred tax assets. </w:t>
      </w:r>
    </w:p>
    <w:p>
      <w:pPr>
        <w:pStyle w:val="TextBody"/>
        <w:bidi w:val="0"/>
        <w:spacing w:before="240" w:after="0"/>
        <w:jc w:val="left"/>
        <w:rPr>
          <w:rFonts w:ascii="Times New Roman" w:hAnsi="Times New Roman"/>
          <w:sz w:val="20"/>
        </w:rPr>
      </w:pPr>
      <w:r>
        <w:rPr>
          <w:rFonts w:ascii="Times New Roman" w:hAnsi="Times New Roman"/>
          <w:sz w:val="20"/>
        </w:rPr>
        <w:t xml:space="preserve">We recognize liabilities for uncertain tax positions when we conclude that it is more likely than not that a tax position will not be sustained upon examination by the relevant tax authorities. This evaluation requires management to apply judgment in assessing the technical merits of tax positions and estimating the probability and magnitude of potential outcomes. </w:t>
      </w:r>
    </w:p>
    <w:p>
      <w:pPr>
        <w:pStyle w:val="TextBody"/>
        <w:bidi w:val="0"/>
        <w:spacing w:before="360" w:after="0"/>
        <w:jc w:val="left"/>
        <w:rPr>
          <w:rFonts w:ascii="Times New Roman" w:hAnsi="Times New Roman"/>
          <w:b/>
          <w:sz w:val="20"/>
        </w:rPr>
      </w:pPr>
      <w:r>
        <w:rPr>
          <w:rFonts w:ascii="Times New Roman" w:hAnsi="Times New Roman"/>
          <w:b/>
          <w:sz w:val="20"/>
        </w:rPr>
        <w:t xml:space="preserve">Qualitative and Quantitative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Market risk is the risk of economic losses due to adverse changes in financial market prices and rates. Our primary market risk has been interest rate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Borrowings under the i80 Facility as well as certain single company term loans bear interest at floating rates and are therefore subject to interest rate risk. As of March 31, 2026, the outstanding balance under the i80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Facility was $153.4 million. In addition, the Company had three single company term loans subject to variable rates with an aggregate principal balance of approximately $44.9 million as of March 31, 2026. Borrowings under these credit facilities and term loans accrue interest based on a floating benchmark rate plus an applicable spread. </w:t>
      </w:r>
    </w:p>
    <w:p>
      <w:pPr>
        <w:pStyle w:val="TextBody"/>
        <w:bidi w:val="0"/>
        <w:spacing w:before="240" w:after="0"/>
        <w:jc w:val="left"/>
        <w:rPr>
          <w:rFonts w:ascii="Times New Roman" w:hAnsi="Times New Roman"/>
          <w:sz w:val="20"/>
        </w:rPr>
      </w:pPr>
      <w:r>
        <w:rPr>
          <w:rFonts w:ascii="Times New Roman" w:hAnsi="Times New Roman"/>
          <w:sz w:val="20"/>
        </w:rPr>
        <w:t xml:space="preserve">Based on the outstanding variable rate borrowings as of March 31, 2026, a hypothetical 1% increase or decrease in interest rates, with all other variables held constant, would result in a change in quarterly interest expense of approximately $0.5 million for the three months ended December 31,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Teamshares elected not to opt out of such extended transition period which means that when a standard is issued or revised and it has different application dates for public or private companies, Teamshares, as an emerging growth company, can adopt the new or revised standard at the time private companies adopt the new or revised standard, until such time Teamshares is no longer considered to be an emerging growth company. At times, Teamshares may elect to early adopt a new or revised standard. </w:t>
      </w:r>
    </w:p>
    <w:p>
      <w:pPr>
        <w:pStyle w:val="TextBody"/>
        <w:bidi w:val="0"/>
        <w:spacing w:before="240" w:after="0"/>
        <w:jc w:val="left"/>
        <w:rPr>
          <w:rFonts w:ascii="Times New Roman" w:hAnsi="Times New Roman"/>
          <w:sz w:val="20"/>
        </w:rPr>
      </w:pPr>
      <w:r>
        <w:rPr>
          <w:rFonts w:ascii="Times New Roman" w:hAnsi="Times New Roman"/>
          <w:sz w:val="20"/>
        </w:rPr>
        <w:t xml:space="preserve">In addition, Teamshares intends to rely on the other exemptions and reduced reporting requirements provided by the JOBS Act. Subject to certain conditions set forth in the JOBS Act, if, as an emerging growth company, Teamshares intends to rely on such exemptions, Teamshares is not required to, among other things: (a) provide an auditor’s attestation report on Teamshares’ system of internal control over financial reporting pursuant to Section 404(b) of the Sarbanes-Oxley Act; (b) provide all of the compensation disclosures that may be required of non-emerging growth public companies under the Dodd-Frank Wall Street Reform and Consumer Protection Act; (c)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(d) disclose certain executive compensation-related items such as the correlation between executive compensation and performance and comparisons of the Chief Executive Officer’s compensation to median employee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Teamshares will remain an emerging growth company under the JOBS Act until the earliest of (a) the last day of Teamshares’ first fiscal year following the fifth anniversary of the offering, (b) the last date of Teamshares’ fiscal year in which Teamshares has total annual gross revenue of at least $1.235 billion, (c) the date on which Teamshares is deemed to be a “large accelerated filer” under the rules of the SEC with at least $700.0 million of outstanding securities held by non-affiliates or (d) the date on which Teamshares has issued more than $1.0 billion in non-convertible debt securities during the previous three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See the notes to our consolidated financial statements for a discussion about new accounting pronouncements adopted and not yet adopted as of the date of this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58823_12"/>
      <w:bookmarkEnd w:id="14"/>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Teamshares is a tech-enabled acquiror of high-quality SMEs intending to be a permanent home for businesses. Part holding company, part fintech, Teamshares programmatically acquires companies with $0.5 to $5 million of EBITDA from retiring owners, integrates them with the Teamshares platform, and helps employees earn company stock. Our acquisition-based business model aims to drive predictable, repeatable growth and scale through financial technology. </w:t>
      </w:r>
    </w:p>
    <w:p>
      <w:pPr>
        <w:pStyle w:val="TextBody"/>
        <w:bidi w:val="0"/>
        <w:spacing w:before="240" w:after="0"/>
        <w:jc w:val="left"/>
        <w:rPr>
          <w:rFonts w:ascii="Times New Roman" w:hAnsi="Times New Roman"/>
          <w:sz w:val="20"/>
        </w:rPr>
      </w:pPr>
      <w:r>
        <w:rPr>
          <w:rFonts w:ascii="Times New Roman" w:hAnsi="Times New Roman"/>
          <w:sz w:val="20"/>
        </w:rPr>
        <w:t xml:space="preserve">Teamshares is among the largest acquirors of SMEs in the United States, with a differentiated, innovative model. In just six years, we have scaled to over $400 million in consolidated revenue among our Operating Subsidiaries, diversified across over 40 industries and 30 states. Teamshares’ growth is made possible by our scalable platform that combines centralized financial technology with decentralized, aligned leadership. </w:t>
      </w:r>
    </w:p>
    <w:p>
      <w:pPr>
        <w:pStyle w:val="TextBody"/>
        <w:bidi w:val="0"/>
        <w:spacing w:before="240" w:after="0"/>
        <w:jc w:val="left"/>
        <w:rPr>
          <w:rFonts w:ascii="Times New Roman" w:hAnsi="Times New Roman"/>
          <w:sz w:val="20"/>
        </w:rPr>
      </w:pPr>
      <w:r>
        <w:rPr>
          <w:rFonts w:ascii="Times New Roman" w:hAnsi="Times New Roman"/>
          <w:sz w:val="20"/>
        </w:rPr>
        <w:t xml:space="preserve">Teamshares’ software drives scale and efficiency across the entire company lifecycle. It helps source, underwrite, and close acquisitions efficiently and programmatically, and then provides standardized financial and operating visibility for every company. Teamshares leverages AI to scale our platform and data-driven decision-making, with each acquisition contributing data we believe compounds platform value over time. </w:t>
      </w:r>
    </w:p>
    <w:p>
      <w:pPr>
        <w:pStyle w:val="TextBody"/>
        <w:bidi w:val="0"/>
        <w:spacing w:before="240" w:after="0"/>
        <w:jc w:val="left"/>
        <w:rPr>
          <w:rFonts w:ascii="Times New Roman" w:hAnsi="Times New Roman"/>
          <w:sz w:val="20"/>
        </w:rPr>
      </w:pPr>
      <w:r>
        <w:rPr>
          <w:rFonts w:ascii="Times New Roman" w:hAnsi="Times New Roman"/>
          <w:sz w:val="20"/>
        </w:rPr>
        <w:t xml:space="preserve">We analyze thousands of opportunities annually through our software, targeting retirement situations for companies with strong cash flow conversion. Teamshares’ average acquired company has been in operation for more than 35 years, demonstrating durability across economic cycles. </w:t>
      </w:r>
    </w:p>
    <w:p>
      <w:pPr>
        <w:pStyle w:val="TextBody"/>
        <w:bidi w:val="0"/>
        <w:spacing w:before="240" w:after="0"/>
        <w:jc w:val="left"/>
        <w:rPr>
          <w:rFonts w:ascii="Times New Roman" w:hAnsi="Times New Roman"/>
          <w:sz w:val="20"/>
        </w:rPr>
      </w:pPr>
      <w:r>
        <w:rPr>
          <w:rFonts w:ascii="Times New Roman" w:hAnsi="Times New Roman"/>
          <w:sz w:val="20"/>
        </w:rPr>
        <w:t xml:space="preserve">The American economy has 6 million SMEs with up to 100 employees. Over 3 million of these companies have owners aged 55 or older and likely need to sell over the coming decades, with a limited universe of credible buyers. Teamshares aims to scale as a differentiated ‘exit of choice’ for thousands of high-quality SMEs over the long term. </w:t>
      </w:r>
    </w:p>
    <w:p>
      <w:pPr>
        <w:pStyle w:val="TextBody"/>
        <w:bidi w:val="0"/>
        <w:spacing w:before="240" w:after="0"/>
        <w:jc w:val="left"/>
        <w:rPr>
          <w:rFonts w:ascii="Times New Roman" w:hAnsi="Times New Roman"/>
          <w:sz w:val="20"/>
        </w:rPr>
      </w:pPr>
      <w:r>
        <w:rPr>
          <w:rFonts w:ascii="Times New Roman" w:hAnsi="Times New Roman"/>
          <w:sz w:val="20"/>
        </w:rPr>
        <w:t xml:space="preserve">From systematic sourcing to institutional leadership and centralized cash control, Teamshares aims to evolve a fragmented, founder-driven asset class into an institutionalized platform that we believe can scale predictably and deliver durable financial growth.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Technology </w:t>
      </w:r>
    </w:p>
    <w:p>
      <w:pPr>
        <w:pStyle w:val="TextBody"/>
        <w:bidi w:val="0"/>
        <w:spacing w:before="120" w:after="0"/>
        <w:jc w:val="left"/>
        <w:rPr>
          <w:rFonts w:ascii="Times New Roman" w:hAnsi="Times New Roman"/>
          <w:sz w:val="20"/>
        </w:rPr>
      </w:pPr>
      <w:r>
        <w:rPr>
          <w:rFonts w:ascii="Times New Roman" w:hAnsi="Times New Roman"/>
          <w:sz w:val="20"/>
        </w:rPr>
        <w:t xml:space="preserve">Teamshares’ software platform drives scale and efficiency across the entire lifecycle of our Operating Subsidiaries. Our proprietary software helps source, underwrite, and close acquisitions consistently and programmatically. After acquisition and financial integration, our software provides standardized financial and operating visibility for each company, creating a unified view of performance that supports disciplined operational oversight. </w:t>
      </w:r>
    </w:p>
    <w:p>
      <w:pPr>
        <w:pStyle w:val="TextBody"/>
        <w:bidi w:val="0"/>
        <w:spacing w:before="240" w:after="0"/>
        <w:jc w:val="left"/>
        <w:rPr>
          <w:rFonts w:ascii="Times New Roman" w:hAnsi="Times New Roman"/>
          <w:sz w:val="20"/>
        </w:rPr>
      </w:pPr>
      <w:r>
        <w:rPr>
          <w:rFonts w:ascii="Times New Roman" w:hAnsi="Times New Roman"/>
          <w:sz w:val="20"/>
        </w:rPr>
        <w:t xml:space="preserve">We integrate financial and operating data from established third-party systems across each Operating Subsidiary into a single structured data layer on which our proprietary software operates. Our technology leverages this foundation to produce actionable insights that support more informed financial decision-making, improving company profitability and supporting the long-term success of our business model. </w:t>
      </w:r>
    </w:p>
    <w:p>
      <w:pPr>
        <w:pStyle w:val="TextBody"/>
        <w:bidi w:val="0"/>
        <w:spacing w:before="240" w:after="0"/>
        <w:jc w:val="left"/>
        <w:rPr>
          <w:rFonts w:ascii="Times New Roman" w:hAnsi="Times New Roman"/>
          <w:sz w:val="20"/>
        </w:rPr>
      </w:pPr>
      <w:r>
        <w:rPr>
          <w:rFonts w:ascii="Times New Roman" w:hAnsi="Times New Roman"/>
          <w:sz w:val="20"/>
        </w:rPr>
        <w:t xml:space="preserve">Each acquisition contributes standardized financial and operating data to our proprietary dataset, improving our ability to benchmark performance, identify operational patterns, and generate data-driven insights across similar businesses. As our dataset grows, we expect our underwriting accuracy and financial and operational insight to improve, which we believe creates a compounding advantage in both acquisition efficiency and company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use machine learning and artificial intelligence across our platform, which we define to include a range of computational techniques, including statistical modeling, natural language processing, and large language models that automate or augment analytical tasks in our business. Within our proprietary software, we have built tools that use these techniques to support financial integration, accounting operations, transaction workflows, and financial forecasting. For example, we use natural language processing models trained on our proprietary data using open- source machine learning libraries to automate chart of accounts mapping for newly acquired companies, and we use large language models to support accounts payable workflows and investment memo preparation. We also use applied statistical models to forecast financial performance using historical and incoming transaction-level data. We monitor the performance of our models and all AI-assisted outputs are subject to human review before they are used in financial reporting, investment decisions, or operational actions.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our proprietary tools, certain of our teams use commercial large language model services provided by third-party AI service providers under enterprise agreements with privacy protections to assist with software development, financial modeling, and other analytical workflows. Our platform is designed to be model-agnostic, and we are not dependent on any single third-party AI provider. We also use third-party software-as-a-service platforms in the ordinary course of our operations, certain of which incorporate AI and machine learning features. </w:t>
      </w:r>
    </w:p>
    <w:p>
      <w:pPr>
        <w:pStyle w:val="TextBody"/>
        <w:bidi w:val="0"/>
        <w:spacing w:before="240" w:after="0"/>
        <w:jc w:val="left"/>
        <w:rPr>
          <w:rFonts w:ascii="Times New Roman" w:hAnsi="Times New Roman"/>
          <w:sz w:val="20"/>
        </w:rPr>
      </w:pPr>
      <w:r>
        <w:rPr>
          <w:rFonts w:ascii="Times New Roman" w:hAnsi="Times New Roman"/>
          <w:sz w:val="20"/>
        </w:rPr>
        <w:t xml:space="preserve">Building technology in-house allows us to align Teamshares’ platform directly with our business model and prioritize engineering investment in capabilities that increase acquisition throughput and enhance ongoing company performance and capital allocation. As we grow, these systems reduce marginal operating cost and enable centralized teams to support a larger network of companies, without proportional headcount increases at the platform level. </w:t>
      </w:r>
    </w:p>
    <w:p>
      <w:pPr>
        <w:pStyle w:val="TextBody"/>
        <w:bidi w:val="0"/>
        <w:spacing w:before="360" w:after="0"/>
        <w:jc w:val="left"/>
        <w:rPr>
          <w:rFonts w:ascii="Times New Roman" w:hAnsi="Times New Roman"/>
          <w:b/>
          <w:sz w:val="20"/>
        </w:rPr>
      </w:pPr>
      <w:r>
        <w:rPr>
          <w:rFonts w:ascii="Times New Roman" w:hAnsi="Times New Roman"/>
          <w:b/>
          <w:sz w:val="20"/>
        </w:rPr>
        <w:t xml:space="preserve">Our Business Model </w:t>
      </w:r>
    </w:p>
    <w:p>
      <w:pPr>
        <w:pStyle w:val="TextBody"/>
        <w:bidi w:val="0"/>
        <w:spacing w:before="120" w:after="0"/>
        <w:jc w:val="left"/>
        <w:rPr>
          <w:rFonts w:ascii="Times New Roman" w:hAnsi="Times New Roman"/>
          <w:i/>
          <w:sz w:val="20"/>
        </w:rPr>
      </w:pPr>
      <w:r>
        <w:rPr>
          <w:rFonts w:ascii="Times New Roman" w:hAnsi="Times New Roman"/>
          <w:i/>
          <w:sz w:val="20"/>
        </w:rPr>
        <w:t xml:space="preserve">Programmatic Acquisition Strategy </w:t>
      </w:r>
    </w:p>
    <w:p>
      <w:pPr>
        <w:pStyle w:val="TextBody"/>
        <w:bidi w:val="0"/>
        <w:spacing w:before="120" w:after="0"/>
        <w:jc w:val="left"/>
        <w:rPr>
          <w:rFonts w:ascii="Times New Roman" w:hAnsi="Times New Roman"/>
          <w:sz w:val="20"/>
        </w:rPr>
      </w:pPr>
      <w:r>
        <w:rPr>
          <w:rFonts w:ascii="Times New Roman" w:hAnsi="Times New Roman"/>
          <w:sz w:val="20"/>
        </w:rPr>
        <w:t xml:space="preserve">Teamshares is pursuing a programmatic acquisition strategy. Programmatic acquirors continually engage in small acquisitions as a core growth and capital allocation strategy, reinvesting free cash flow into further acquisitions. Teamshares acquires SMEs with $0.5 million to $5.0 million of EBITDA from retiring owners, typically through the purchase of 100% of the equity interests or substantially all of the operating assets of the acquired company. </w:t>
      </w:r>
    </w:p>
    <w:p>
      <w:pPr>
        <w:pStyle w:val="TextBody"/>
        <w:bidi w:val="0"/>
        <w:spacing w:before="240" w:after="0"/>
        <w:jc w:val="left"/>
        <w:rPr>
          <w:rFonts w:ascii="Times New Roman" w:hAnsi="Times New Roman"/>
          <w:sz w:val="20"/>
        </w:rPr>
      </w:pPr>
      <w:r>
        <w:rPr>
          <w:rFonts w:ascii="Times New Roman" w:hAnsi="Times New Roman"/>
          <w:sz w:val="20"/>
        </w:rPr>
        <w:t xml:space="preserve">As Teamshares closes acquisitions, the financials of the acquired companies are consolidated with Teamshares’ financials as Operating Subsidiaries. A critical feature of our model is the ability to reallocate cash flow into subsequent acquisitions, high-ROI organic growth opportunities, and development of the platform to enable future scale. </w:t>
      </w:r>
    </w:p>
    <w:p>
      <w:pPr>
        <w:pStyle w:val="TextBody"/>
        <w:bidi w:val="0"/>
        <w:spacing w:before="240" w:after="0"/>
        <w:jc w:val="left"/>
        <w:rPr>
          <w:rFonts w:ascii="Times New Roman" w:hAnsi="Times New Roman"/>
          <w:sz w:val="20"/>
        </w:rPr>
      </w:pPr>
      <w:r>
        <w:rPr>
          <w:rFonts w:ascii="Times New Roman" w:hAnsi="Times New Roman"/>
          <w:sz w:val="20"/>
        </w:rPr>
        <w:t xml:space="preserve">As such, our growth as a programmatic acquiror is not constrained solely by the organic growth of our subsidiaries, but by our ability to intelligently allocate capital to the highest-growth opportunities. </w:t>
      </w:r>
    </w:p>
    <w:p>
      <w:pPr>
        <w:pStyle w:val="TextBody"/>
        <w:bidi w:val="0"/>
        <w:spacing w:before="360" w:after="0"/>
        <w:jc w:val="left"/>
        <w:rPr>
          <w:rFonts w:ascii="Times New Roman" w:hAnsi="Times New Roman"/>
          <w:i/>
          <w:sz w:val="20"/>
        </w:rPr>
      </w:pPr>
      <w:r>
        <w:rPr>
          <w:rFonts w:ascii="Times New Roman" w:hAnsi="Times New Roman"/>
          <w:i/>
          <w:sz w:val="20"/>
        </w:rPr>
        <w:t xml:space="preserve">Technology Enables Positive Selection </w:t>
      </w:r>
    </w:p>
    <w:p>
      <w:pPr>
        <w:pStyle w:val="TextBody"/>
        <w:bidi w:val="0"/>
        <w:spacing w:before="120" w:after="0"/>
        <w:jc w:val="left"/>
        <w:rPr>
          <w:rFonts w:ascii="Times New Roman" w:hAnsi="Times New Roman"/>
          <w:sz w:val="20"/>
        </w:rPr>
      </w:pPr>
      <w:r>
        <w:rPr>
          <w:rFonts w:ascii="Times New Roman" w:hAnsi="Times New Roman"/>
          <w:sz w:val="20"/>
        </w:rPr>
        <w:t xml:space="preserve">Internally developed software enables Teamshares to source approximately 75,000 actively-for-sale SMEs in the United States annually, of which approximately 15,000 meet our minimum size criteria. Our technology-enabled approach allows us to evaluate approximately 1,500 acquisition opportunities per year, a number we expect to increase over time. </w:t>
      </w:r>
    </w:p>
    <w:p>
      <w:pPr>
        <w:pStyle w:val="TextBody"/>
        <w:bidi w:val="0"/>
        <w:spacing w:before="240" w:after="0"/>
        <w:jc w:val="left"/>
        <w:rPr>
          <w:rFonts w:ascii="Times New Roman" w:hAnsi="Times New Roman"/>
          <w:sz w:val="20"/>
        </w:rPr>
      </w:pPr>
      <w:r>
        <w:rPr>
          <w:rFonts w:ascii="Times New Roman" w:hAnsi="Times New Roman"/>
          <w:sz w:val="20"/>
        </w:rPr>
        <w:t xml:space="preserve">In 2025, Teamshares acquired 9 companies, despite evaluating approximately 1,500 opportunities. The volume of opportunities we source enables us to apply selective criteria regarding company quality and financial performance. We believe this pipeline also supports pricing and structural discipline, as we are not dependent on any single transaction and can continue pursuing other opportunities if mutually acceptable terms are not reached.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Permanent Ownership Strategy </w:t>
      </w:r>
    </w:p>
    <w:p>
      <w:pPr>
        <w:pStyle w:val="TextBody"/>
        <w:bidi w:val="0"/>
        <w:spacing w:before="120" w:after="0"/>
        <w:jc w:val="left"/>
        <w:rPr>
          <w:rFonts w:ascii="Times New Roman" w:hAnsi="Times New Roman"/>
          <w:sz w:val="20"/>
        </w:rPr>
      </w:pPr>
      <w:r>
        <w:rPr>
          <w:rFonts w:ascii="Times New Roman" w:hAnsi="Times New Roman"/>
          <w:sz w:val="20"/>
        </w:rPr>
        <w:t xml:space="preserve">Teamshares intends to retain ownership of its operating subsidiaries permanently. Teamshares believes that long-term shareholder value is better served by permanent ownership in a growing, diversified publicly traded company than by the potential short-term gains from selling to a privately owned competitor or a private equity fund. </w:t>
      </w:r>
    </w:p>
    <w:p>
      <w:pPr>
        <w:pStyle w:val="TextBody"/>
        <w:bidi w:val="0"/>
        <w:spacing w:before="240" w:after="0"/>
        <w:jc w:val="left"/>
        <w:rPr>
          <w:rFonts w:ascii="Times New Roman" w:hAnsi="Times New Roman"/>
          <w:sz w:val="20"/>
        </w:rPr>
      </w:pPr>
      <w:r>
        <w:rPr>
          <w:rFonts w:ascii="Times New Roman" w:hAnsi="Times New Roman"/>
          <w:sz w:val="20"/>
        </w:rPr>
        <w:t xml:space="preserve">Since private market valuation multiples in the acquisitions we pursue tend to be lower than those of larger public companies, Teamshares believes that it would be dilutive to shareholder value to sell a company and lose the long-term cash flow of that operating subsidiary. </w:t>
      </w:r>
    </w:p>
    <w:p>
      <w:pPr>
        <w:pStyle w:val="TextBody"/>
        <w:bidi w:val="0"/>
        <w:spacing w:before="240" w:after="0"/>
        <w:jc w:val="left"/>
        <w:rPr>
          <w:rFonts w:ascii="Times New Roman" w:hAnsi="Times New Roman"/>
          <w:sz w:val="20"/>
        </w:rPr>
      </w:pPr>
      <w:r>
        <w:rPr>
          <w:rFonts w:ascii="Times New Roman" w:hAnsi="Times New Roman"/>
          <w:sz w:val="20"/>
        </w:rPr>
        <w:t xml:space="preserve">Since permanent ownership is relatively rare, as is a model of bringing employees into share ownership, Teamshares provides an offering that, in our experience, retiring business owners and the brokers and advisors who represent them find compelling and highly differentiated. </w:t>
      </w:r>
    </w:p>
    <w:p>
      <w:pPr>
        <w:pStyle w:val="TextBody"/>
        <w:bidi w:val="0"/>
        <w:spacing w:before="240" w:after="0"/>
        <w:jc w:val="left"/>
        <w:rPr>
          <w:rFonts w:ascii="Times New Roman" w:hAnsi="Times New Roman"/>
          <w:sz w:val="20"/>
        </w:rPr>
      </w:pPr>
      <w:r>
        <w:rPr>
          <w:rFonts w:ascii="Times New Roman" w:hAnsi="Times New Roman"/>
          <w:sz w:val="20"/>
        </w:rPr>
        <w:t xml:space="preserve">Teamshares does not sell its operating subsidiaries to third parties for short-term investment gains. We have only sold businesses back to former owners, and have only done so five times in our acquisition history, with each based on the operating subsidiary not performing at expected profitability levels. </w:t>
      </w:r>
    </w:p>
    <w:p>
      <w:pPr>
        <w:pStyle w:val="TextBody"/>
        <w:bidi w:val="0"/>
        <w:spacing w:before="240" w:after="0"/>
        <w:jc w:val="left"/>
        <w:rPr>
          <w:rFonts w:ascii="Times New Roman" w:hAnsi="Times New Roman"/>
          <w:sz w:val="20"/>
        </w:rPr>
      </w:pPr>
      <w:r>
        <w:rPr>
          <w:rFonts w:ascii="Times New Roman" w:hAnsi="Times New Roman"/>
          <w:sz w:val="20"/>
        </w:rPr>
        <w:t xml:space="preserve">If an operating subsidiary was not deemed to be financially viable and we were unable to sell the business to the former owner, we have, in certain cases, elected to cease operations and close the subsidiary in order to limit ongoing operating losses and reallocate management attention and capital to higher-performing operating subsidiaries. The operating subsidiaries that were disposed or ceased operations primarily related to companies that were acquired during 2021 and disposed of during late 2024 and throughout 2025 and include certain fixed-price construction businesses and smaller, subscale operations that no longer meet the Company’s underwriting criteria. As a result of modifications to our underwriting criteria and an enhanced ability to identify, prevent and support turnaround situations, we currently expect a lower rate of operating subsidiaries being disposed of or ceasing operations in future periods; however, such activity is not expected to be eliminated entirely and will continue to depend on prevailing market conditions, the performance of acquired businesses and our ability to successfully identify, acquire, integrate and operate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Our Growth Opportunity </w:t>
      </w:r>
    </w:p>
    <w:p>
      <w:pPr>
        <w:pStyle w:val="TextBody"/>
        <w:bidi w:val="0"/>
        <w:spacing w:before="120" w:after="0"/>
        <w:jc w:val="left"/>
        <w:rPr>
          <w:rFonts w:ascii="Times New Roman" w:hAnsi="Times New Roman"/>
          <w:sz w:val="20"/>
        </w:rPr>
      </w:pPr>
      <w:r>
        <w:rPr>
          <w:rFonts w:ascii="Times New Roman" w:hAnsi="Times New Roman"/>
          <w:sz w:val="20"/>
        </w:rPr>
        <w:t xml:space="preserve">We believe Teamshares has a significant opportunity to scale our platform from over 90 Operating Subsidiaries today to thousands over the long term. </w:t>
      </w:r>
    </w:p>
    <w:p>
      <w:pPr>
        <w:pStyle w:val="TextBody"/>
        <w:bidi w:val="0"/>
        <w:spacing w:before="240" w:after="0"/>
        <w:jc w:val="left"/>
        <w:rPr>
          <w:rFonts w:ascii="Times New Roman" w:hAnsi="Times New Roman"/>
          <w:sz w:val="20"/>
        </w:rPr>
      </w:pPr>
      <w:r>
        <w:rPr>
          <w:rFonts w:ascii="Times New Roman" w:hAnsi="Times New Roman"/>
          <w:sz w:val="20"/>
        </w:rPr>
        <w:t xml:space="preserve">Over 3 million American SMEs are owned by individuals aged 55 or older, among tens of millions of SMEs globally in a similar situation. For many of these owners, the business represents their primary asset, yet exit options are limited. Family succession accounts for an estimated 15% of exits, and approximately 70% of attempted sales fail. Teamshares was built to address this supply and demand imbalance, enabling founders to retire confidently while allowing employees to participate as aligned shareholders. </w:t>
      </w:r>
    </w:p>
    <w:p>
      <w:pPr>
        <w:pStyle w:val="TextBody"/>
        <w:bidi w:val="0"/>
        <w:spacing w:before="240" w:after="0"/>
        <w:jc w:val="left"/>
        <w:rPr>
          <w:rFonts w:ascii="Times New Roman" w:hAnsi="Times New Roman"/>
          <w:sz w:val="20"/>
        </w:rPr>
      </w:pPr>
      <w:r>
        <w:rPr>
          <w:rFonts w:ascii="Times New Roman" w:hAnsi="Times New Roman"/>
          <w:sz w:val="20"/>
        </w:rPr>
        <w:t xml:space="preserve">Each year, we source more than 15,000 size-qualified opportunities through our software and underwrite thousands of potential acquisitions, focusing on retirement-driven transactions involving companies with strong cash flow, low owner dependency, and operational stability. As we evaluate and acquire more businesses,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platform continuously improves its ability to identify companies that meet our acquisition criteria, as part of the flywheel outlined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49290" cy="33267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49290" cy="332676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Our Platform </w:t>
      </w:r>
    </w:p>
    <w:p>
      <w:pPr>
        <w:pStyle w:val="TextBody"/>
        <w:bidi w:val="0"/>
        <w:spacing w:before="120" w:after="0"/>
        <w:jc w:val="left"/>
        <w:rPr>
          <w:rFonts w:ascii="Times New Roman" w:hAnsi="Times New Roman"/>
          <w:sz w:val="20"/>
        </w:rPr>
      </w:pPr>
      <w:r>
        <w:rPr>
          <w:rFonts w:ascii="Times New Roman" w:hAnsi="Times New Roman"/>
          <w:sz w:val="20"/>
        </w:rPr>
        <w:t xml:space="preserve">Teamshares’ platform supports disciplined underwriting, centralized financial oversight, and scalable capital deployment across a growing number of Operating Subsidiaries. </w:t>
      </w:r>
    </w:p>
    <w:p>
      <w:pPr>
        <w:pStyle w:val="TextBody"/>
        <w:bidi w:val="0"/>
        <w:spacing w:before="240" w:after="0"/>
        <w:jc w:val="left"/>
        <w:rPr>
          <w:rFonts w:ascii="Times New Roman" w:hAnsi="Times New Roman"/>
          <w:sz w:val="20"/>
        </w:rPr>
      </w:pPr>
      <w:r>
        <w:rPr>
          <w:rFonts w:ascii="Times New Roman" w:hAnsi="Times New Roman"/>
          <w:sz w:val="20"/>
        </w:rPr>
        <w:t xml:space="preserve">Teamshares targets businesses with $0.5 to $5.0 million of EBITDA and we have been able to maintain consistent underwriting standards, typically acquiring companies at 4x to 6x EBITDA. We generally employ moderate senior leverage of approximately 3x EBITDA, supplemented by seller financing, to achieve capital efficiency while managing downside and owner-transition risk. After onboarding, we centrally manage cash flow distributions and allocate capital to the highest return uses across Teamshares, which may include acquisitions, organic growth opportunities, or platform-level investments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Our underwriting framework is supported by tech-enabled analysis, standardized diligence workflows, and centralized investment committee review. This discipline, combined with automation of recurring financial processes, supports a target of approximately 75% to 85% EBITDA-to-free-cash-flow conversion. Generated cash flow is systematically redeployed across the platform, which we believe will create the ability to increasingly self-finance acquisitions over time. </w:t>
      </w:r>
    </w:p>
    <w:p>
      <w:pPr>
        <w:pStyle w:val="TextBody"/>
        <w:bidi w:val="0"/>
        <w:spacing w:before="240" w:after="0"/>
        <w:jc w:val="left"/>
        <w:rPr>
          <w:rFonts w:ascii="Times New Roman" w:hAnsi="Times New Roman"/>
          <w:sz w:val="20"/>
        </w:rPr>
      </w:pPr>
      <w:r>
        <w:rPr>
          <w:rFonts w:ascii="Times New Roman" w:hAnsi="Times New Roman"/>
          <w:sz w:val="20"/>
        </w:rPr>
        <w:t xml:space="preserve">Our proprietary software enables operating leverage by allowing Teamshares to add Operating Subsidiaries faster than our corporate overhead grows. Since 2023, earnings from Operating Subsidiaries relative to corporate overhead has increased significantly. </w:t>
      </w:r>
    </w:p>
    <w:p>
      <w:pPr>
        <w:pStyle w:val="TextBody"/>
        <w:bidi w:val="0"/>
        <w:spacing w:before="360" w:after="0"/>
        <w:jc w:val="left"/>
        <w:rPr>
          <w:rFonts w:ascii="Times New Roman" w:hAnsi="Times New Roman"/>
          <w:i/>
          <w:sz w:val="20"/>
        </w:rPr>
      </w:pPr>
      <w:r>
        <w:rPr>
          <w:rFonts w:ascii="Times New Roman" w:hAnsi="Times New Roman"/>
          <w:i/>
          <w:sz w:val="20"/>
        </w:rPr>
        <w:t xml:space="preserve">Sourcing </w:t>
      </w:r>
    </w:p>
    <w:p>
      <w:pPr>
        <w:pStyle w:val="TextBody"/>
        <w:bidi w:val="0"/>
        <w:spacing w:before="120" w:after="0"/>
        <w:jc w:val="left"/>
        <w:rPr>
          <w:rFonts w:ascii="Times New Roman" w:hAnsi="Times New Roman"/>
          <w:sz w:val="20"/>
        </w:rPr>
      </w:pPr>
      <w:r>
        <w:rPr>
          <w:rFonts w:ascii="Times New Roman" w:hAnsi="Times New Roman"/>
          <w:sz w:val="20"/>
        </w:rPr>
        <w:t xml:space="preserve">Our proprietary software helps continuously identify and evaluate thousands of leads and automate screening based on defined acquisition criteria. Our software automates repetitive steps including sourcing, initial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filtering, broker outreach and NDA execution. This focus on software-driven efficiency has led to significant operating leverage. Our software is designed to identify select opportunities that line up with our structural investment criteria,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Retirement situations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Decades in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 owner dependency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Support staff in 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 revenue transition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 capital intensity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 technology disruption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Clean tax returns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these criteria help identify established family-owned enterprises with relatively low transition risk, particularly with respect to sustaining historical and projected financial performance following the transition of leadership from the prior owner to a Teamshares president. </w:t>
      </w:r>
    </w:p>
    <w:p>
      <w:pPr>
        <w:pStyle w:val="TextBody"/>
        <w:bidi w:val="0"/>
        <w:spacing w:before="240" w:after="0"/>
        <w:jc w:val="left"/>
        <w:rPr>
          <w:rFonts w:ascii="Times New Roman" w:hAnsi="Times New Roman"/>
          <w:sz w:val="20"/>
        </w:rPr>
      </w:pPr>
      <w:r>
        <w:rPr>
          <w:rFonts w:ascii="Times New Roman" w:hAnsi="Times New Roman"/>
          <w:sz w:val="20"/>
        </w:rPr>
        <w:t xml:space="preserve">Teamshares continues to expand its range of industries in which it operates as part of a deliberate diversification strategy intended to reduce concentration risk. We believe single-industry acquisition strategies may increase exposure to rising purchase multiples driven by competition and to industry-specific downturns that could create heightened risk for the parent company, although diversification does not eliminate such risks. </w:t>
      </w:r>
    </w:p>
    <w:p>
      <w:pPr>
        <w:pStyle w:val="TextBody"/>
        <w:bidi w:val="0"/>
        <w:spacing w:before="360" w:after="0"/>
        <w:jc w:val="left"/>
        <w:rPr>
          <w:rFonts w:ascii="Times New Roman" w:hAnsi="Times New Roman"/>
          <w:i/>
          <w:sz w:val="20"/>
        </w:rPr>
      </w:pPr>
      <w:r>
        <w:rPr>
          <w:rFonts w:ascii="Times New Roman" w:hAnsi="Times New Roman"/>
          <w:i/>
          <w:sz w:val="20"/>
        </w:rPr>
        <w:t xml:space="preserve">Underwriting </w:t>
      </w:r>
    </w:p>
    <w:p>
      <w:pPr>
        <w:pStyle w:val="TextBody"/>
        <w:bidi w:val="0"/>
        <w:spacing w:before="120" w:after="0"/>
        <w:jc w:val="left"/>
        <w:rPr>
          <w:rFonts w:ascii="Times New Roman" w:hAnsi="Times New Roman"/>
          <w:sz w:val="20"/>
        </w:rPr>
      </w:pPr>
      <w:r>
        <w:rPr>
          <w:rFonts w:ascii="Times New Roman" w:hAnsi="Times New Roman"/>
          <w:sz w:val="20"/>
        </w:rPr>
        <w:t xml:space="preserve">Our software helps us manage the process of initial diligence and financial analysis on acquisition opportunities, generate offer documents, organize and summarize company information. Teamshares’ approach to underwriting is conservative, focusing on corporate tax returns and bank accounts as the financials of record for SMEs. </w:t>
      </w:r>
    </w:p>
    <w:p>
      <w:pPr>
        <w:pStyle w:val="TextBody"/>
        <w:bidi w:val="0"/>
        <w:spacing w:before="360" w:after="0"/>
        <w:jc w:val="left"/>
        <w:rPr>
          <w:rFonts w:ascii="Times New Roman" w:hAnsi="Times New Roman"/>
          <w:i/>
          <w:sz w:val="20"/>
        </w:rPr>
      </w:pPr>
      <w:r>
        <w:rPr>
          <w:rFonts w:ascii="Times New Roman" w:hAnsi="Times New Roman"/>
          <w:i/>
          <w:sz w:val="20"/>
        </w:rPr>
        <w:t xml:space="preserve">Closing </w:t>
      </w:r>
    </w:p>
    <w:p>
      <w:pPr>
        <w:pStyle w:val="TextBody"/>
        <w:bidi w:val="0"/>
        <w:spacing w:before="120" w:after="0"/>
        <w:jc w:val="left"/>
        <w:rPr>
          <w:rFonts w:ascii="Times New Roman" w:hAnsi="Times New Roman"/>
          <w:sz w:val="20"/>
        </w:rPr>
      </w:pPr>
      <w:r>
        <w:rPr>
          <w:rFonts w:ascii="Times New Roman" w:hAnsi="Times New Roman"/>
          <w:sz w:val="20"/>
        </w:rPr>
        <w:t xml:space="preserve">Our in-house legal and financial diligence team, along with our proprietary software manages a standardized closing workflow that includes data room administration, standardized financial diligence reporting and legal document generation. This operational efficiency has enabled us to close up to seven acquisitions in a single month. </w:t>
      </w:r>
    </w:p>
    <w:p>
      <w:pPr>
        <w:pStyle w:val="TextBody"/>
        <w:bidi w:val="0"/>
        <w:spacing w:before="360" w:after="0"/>
        <w:jc w:val="left"/>
        <w:rPr>
          <w:rFonts w:ascii="Times New Roman" w:hAnsi="Times New Roman"/>
          <w:i/>
          <w:sz w:val="20"/>
        </w:rPr>
      </w:pPr>
      <w:r>
        <w:rPr>
          <w:rFonts w:ascii="Times New Roman" w:hAnsi="Times New Roman"/>
          <w:i/>
          <w:sz w:val="20"/>
        </w:rPr>
        <w:t xml:space="preserve">Acquisition Valuation </w:t>
      </w:r>
    </w:p>
    <w:p>
      <w:pPr>
        <w:pStyle w:val="TextBody"/>
        <w:bidi w:val="0"/>
        <w:spacing w:before="120" w:after="0"/>
        <w:jc w:val="left"/>
        <w:rPr>
          <w:rFonts w:ascii="Times New Roman" w:hAnsi="Times New Roman"/>
          <w:sz w:val="20"/>
        </w:rPr>
      </w:pPr>
      <w:r>
        <w:rPr>
          <w:rFonts w:ascii="Times New Roman" w:hAnsi="Times New Roman"/>
          <w:sz w:val="20"/>
        </w:rPr>
        <w:t xml:space="preserve">The retiring owners we seek to buy from are generally represented by a business broker or a small M&amp;A advisory firm. The selling agent typically presents an explicit asking price or a target EBITDA multiple range concurrent with providing financial information. The asking price feature of the SME market helps focus our time on opportunities where our own internal valuation and terms line up and avoid wasting time in blind price discovery. </w:t>
      </w:r>
    </w:p>
    <w:p>
      <w:pPr>
        <w:pStyle w:val="TextBody"/>
        <w:bidi w:val="0"/>
        <w:spacing w:before="240" w:after="0"/>
        <w:jc w:val="left"/>
        <w:rPr>
          <w:rFonts w:ascii="Times New Roman" w:hAnsi="Times New Roman"/>
          <w:sz w:val="20"/>
        </w:rPr>
      </w:pPr>
      <w:r>
        <w:rPr>
          <w:rFonts w:ascii="Times New Roman" w:hAnsi="Times New Roman"/>
          <w:sz w:val="20"/>
        </w:rPr>
        <w:t xml:space="preserve">Teamshares analyzes four to five years of historical financials, recasting them to account for expected cost changes under our ownership. We determine our valuation based on expected EBITDA and cash flow, generally targeting a 4-6x multiple of expected EBITDA and a 15-20% unlevered free cash flow yield. We determine our valuation offer for each opportunity based on the potential acquisition’s size, risk profile, and growth potential above historical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presenting a letter of intent and receiving feedback, we determine if negotiating terms at the margin will result in a signed offer, or if we are too far apart from true seller expectations (as sometimes asking prices or ranges are inflated vs. the true price a seller will transact at). </w:t>
      </w:r>
    </w:p>
    <w:p>
      <w:pPr>
        <w:pStyle w:val="TextBody"/>
        <w:bidi w:val="0"/>
        <w:spacing w:before="240" w:after="0"/>
        <w:jc w:val="left"/>
        <w:rPr>
          <w:rFonts w:ascii="Times New Roman" w:hAnsi="Times New Roman"/>
          <w:sz w:val="20"/>
        </w:rPr>
      </w:pPr>
      <w:r>
        <w:rPr>
          <w:rFonts w:ascii="Times New Roman" w:hAnsi="Times New Roman"/>
          <w:sz w:val="20"/>
        </w:rPr>
        <w:t xml:space="preserve">Teamshares is an experienced acquiror and a conservative underwriter that takes a lengthy historical view of expected EBITDA and cash flow. As such, we often underwrite to lower financials than less experienced buyers who accept addbacks we reject, or buyers who plan to cut costs via headcount reductions following acquisition. We do not compete based on price, but provide sellers an offer within our view of fair market value, paired with our differentiating aspects of high transaction certainty, operational continuity, and a legacy of permanent ownership alongside employees. </w:t>
      </w:r>
    </w:p>
    <w:p>
      <w:pPr>
        <w:pStyle w:val="TextBody"/>
        <w:bidi w:val="0"/>
        <w:spacing w:before="360" w:after="0"/>
        <w:jc w:val="left"/>
        <w:rPr>
          <w:rFonts w:ascii="Times New Roman" w:hAnsi="Times New Roman"/>
          <w:i/>
          <w:sz w:val="20"/>
        </w:rPr>
      </w:pPr>
      <w:r>
        <w:rPr>
          <w:rFonts w:ascii="Times New Roman" w:hAnsi="Times New Roman"/>
          <w:i/>
          <w:sz w:val="20"/>
        </w:rPr>
        <w:t xml:space="preserve">Acquisition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Teamshares structures the purchase consideration for its acquisitions as a mix of cash and seller financing. Seller financing typically involves a seller note with a term of up to five years, and may also include a performance-based earnout based on revenue, gross profit, or EBITDA. A performance-based earnout is typically used to bridge a valuation gap, such that the earnout is achieved only if the financial metric driving it sustains a peak historical figure or a new future level of growth, depending on the situation and nature of the valuation gap. </w:t>
      </w:r>
    </w:p>
    <w:p>
      <w:pPr>
        <w:pStyle w:val="TextBody"/>
        <w:bidi w:val="0"/>
        <w:spacing w:before="240" w:after="0"/>
        <w:jc w:val="left"/>
        <w:rPr>
          <w:rFonts w:ascii="Times New Roman" w:hAnsi="Times New Roman"/>
          <w:sz w:val="20"/>
        </w:rPr>
      </w:pPr>
      <w:r>
        <w:rPr>
          <w:rFonts w:ascii="Times New Roman" w:hAnsi="Times New Roman"/>
          <w:sz w:val="20"/>
        </w:rPr>
        <w:t xml:space="preserve">Seller financing not only aligns ongoing financial performance, but also protects Teamshares in case of indemnity claims given our right to offset. </w:t>
      </w:r>
    </w:p>
    <w:p>
      <w:pPr>
        <w:pStyle w:val="TextBody"/>
        <w:bidi w:val="0"/>
        <w:spacing w:before="360" w:after="0"/>
        <w:jc w:val="left"/>
        <w:rPr>
          <w:rFonts w:ascii="Times New Roman" w:hAnsi="Times New Roman"/>
          <w:i/>
          <w:sz w:val="20"/>
        </w:rPr>
      </w:pPr>
      <w:r>
        <w:rPr>
          <w:rFonts w:ascii="Times New Roman" w:hAnsi="Times New Roman"/>
          <w:i/>
          <w:sz w:val="20"/>
        </w:rPr>
        <w:t xml:space="preserve">Acquisition Financing </w:t>
      </w:r>
    </w:p>
    <w:p>
      <w:pPr>
        <w:pStyle w:val="TextBody"/>
        <w:bidi w:val="0"/>
        <w:spacing w:before="120" w:after="0"/>
        <w:jc w:val="left"/>
        <w:rPr>
          <w:rFonts w:ascii="Times New Roman" w:hAnsi="Times New Roman"/>
          <w:sz w:val="20"/>
        </w:rPr>
      </w:pPr>
      <w:r>
        <w:rPr>
          <w:rFonts w:ascii="Times New Roman" w:hAnsi="Times New Roman"/>
          <w:sz w:val="20"/>
        </w:rPr>
        <w:t xml:space="preserve">Teamshares finances the cash components of its subsidiary acquisitions with a mix of debt financing and cash on hand. Debt financing for acquisitions has historically been from either a group debt facility, such as the i80 Credit Facility, or from term loans from local and regional banks. Cash has historically come from proceeds to Teamshares derived from a series of preferred stock issuances by Teamshares led by venture capital firms. If Teamshares’ i80 Credit Facility is not refinanced or the maturity date thereunder is not extended, amounts outstanding under the i80 Credit Facility (including PIK interest) will require repayment by Teamshares by December 5, 2026 (assuming no earlier maturity or acceleration events occur) and Teamshares may need to secure other sources of debt financing for its acquisitions (which may or may not be available on terms more favorable to Teamshares than its current credit facilities). </w:t>
      </w:r>
    </w:p>
    <w:p>
      <w:pPr>
        <w:pStyle w:val="TextBody"/>
        <w:bidi w:val="0"/>
        <w:spacing w:before="240" w:after="0"/>
        <w:jc w:val="left"/>
        <w:rPr>
          <w:rFonts w:ascii="Times New Roman" w:hAnsi="Times New Roman"/>
          <w:sz w:val="20"/>
        </w:rPr>
      </w:pPr>
      <w:r>
        <w:rPr>
          <w:rFonts w:ascii="Times New Roman" w:hAnsi="Times New Roman"/>
          <w:sz w:val="20"/>
        </w:rPr>
        <w:t xml:space="preserve">As Teamshares enters the public markets, it is focused on achieving a lower cost of debt financing and executing its plans to potentially generate free cash flows for acquisitions by 2027, allowing the company to use cash flow to increasingly fund the equity portion of acquisition consideration. </w:t>
      </w:r>
    </w:p>
    <w:p>
      <w:pPr>
        <w:pStyle w:val="TextBody"/>
        <w:bidi w:val="0"/>
        <w:spacing w:before="360" w:after="0"/>
        <w:jc w:val="left"/>
        <w:rPr>
          <w:rFonts w:ascii="Times New Roman" w:hAnsi="Times New Roman"/>
          <w:i/>
          <w:sz w:val="20"/>
        </w:rPr>
      </w:pPr>
      <w:r>
        <w:rPr>
          <w:rFonts w:ascii="Times New Roman" w:hAnsi="Times New Roman"/>
          <w:i/>
          <w:sz w:val="20"/>
        </w:rPr>
        <w:t xml:space="preserve">Onboarding </w:t>
      </w:r>
    </w:p>
    <w:p>
      <w:pPr>
        <w:pStyle w:val="TextBody"/>
        <w:bidi w:val="0"/>
        <w:spacing w:before="120" w:after="0"/>
        <w:jc w:val="left"/>
        <w:rPr>
          <w:rFonts w:ascii="Times New Roman" w:hAnsi="Times New Roman"/>
          <w:sz w:val="20"/>
        </w:rPr>
      </w:pPr>
      <w:r>
        <w:rPr>
          <w:rFonts w:ascii="Times New Roman" w:hAnsi="Times New Roman"/>
          <w:sz w:val="20"/>
        </w:rPr>
        <w:t xml:space="preserve">After closing, we onboard the new Operating Subsidiary onto our platform, including upgrading financial reporting to monthly GAAP-level accounting and implementing standardized operational KPIs. We integrate payroll and other administrative functions where appropriate and leverage third-party service providers when proprietary systems are not applicable. </w:t>
      </w:r>
    </w:p>
    <w:p>
      <w:pPr>
        <w:pStyle w:val="TextBody"/>
        <w:bidi w:val="0"/>
        <w:spacing w:before="240" w:after="0"/>
        <w:jc w:val="left"/>
        <w:rPr>
          <w:rFonts w:ascii="Times New Roman" w:hAnsi="Times New Roman"/>
          <w:sz w:val="20"/>
        </w:rPr>
      </w:pPr>
      <w:r>
        <w:rPr>
          <w:rFonts w:ascii="Times New Roman" w:hAnsi="Times New Roman"/>
          <w:sz w:val="20"/>
        </w:rPr>
        <w:t xml:space="preserve">Our platform supports the sourcing and management of Presidents for each Operating Subsidiary to ensure operational continuity. Each subsidiary is led by a dedicated President whose cost is underwritten at acquisition and embedded in the cost structure of our model. Presidents report to a seasoned Group President, enabling scalability, mentorship, and career advancement, with compensation aligned to subsidiary-level performance. </w:t>
      </w:r>
    </w:p>
    <w:p>
      <w:pPr>
        <w:pStyle w:val="TextBody"/>
        <w:bidi w:val="0"/>
        <w:spacing w:before="240" w:after="0"/>
        <w:jc w:val="left"/>
        <w:rPr>
          <w:rFonts w:ascii="Times New Roman" w:hAnsi="Times New Roman"/>
          <w:sz w:val="20"/>
        </w:rPr>
      </w:pPr>
      <w:r>
        <w:rPr>
          <w:rFonts w:ascii="Times New Roman" w:hAnsi="Times New Roman"/>
          <w:sz w:val="20"/>
        </w:rPr>
        <w:t xml:space="preserve">By creating a differentiated leadership role in the founder-driven SME economy, Teamshares has hired Presidents from a wide range of backgrounds. Since implementing programmatic hiring changes in 2023, we have achieved over an 80% success rate in placing and retaining strong Presidents in key operational roles with relevant industry, financial and leadership experience.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Financial Management </w:t>
      </w:r>
    </w:p>
    <w:p>
      <w:pPr>
        <w:pStyle w:val="TextBody"/>
        <w:bidi w:val="0"/>
        <w:spacing w:before="120" w:after="0"/>
        <w:jc w:val="left"/>
        <w:rPr>
          <w:rFonts w:ascii="Times New Roman" w:hAnsi="Times New Roman"/>
          <w:sz w:val="20"/>
        </w:rPr>
      </w:pPr>
      <w:r>
        <w:rPr>
          <w:rFonts w:ascii="Times New Roman" w:hAnsi="Times New Roman"/>
          <w:sz w:val="20"/>
        </w:rPr>
        <w:t xml:space="preserve">After onboarding, our software continues to provide centralized financial oversight across our Operating Subsidiaries, delivering regular reporting on key financial and performance metrics,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key performance indicators, or “KPIs”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flow monitoring and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reporting and variance analysis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Monthly management discussion and analysis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controls and compliance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centralized visibility, combined with our decentralized leadership model, creates operational leverage that enables us to scale oversight and management as we grow. It also gives us the ability to dispatch additional leadership resources early if a company is showing negative financial indicators. </w:t>
      </w:r>
    </w:p>
    <w:p>
      <w:pPr>
        <w:pStyle w:val="TextBody"/>
        <w:bidi w:val="0"/>
        <w:spacing w:before="240" w:after="0"/>
        <w:jc w:val="left"/>
        <w:rPr>
          <w:rFonts w:ascii="Times New Roman" w:hAnsi="Times New Roman"/>
          <w:sz w:val="20"/>
        </w:rPr>
      </w:pPr>
      <w:r>
        <w:rPr>
          <w:rFonts w:ascii="Times New Roman" w:hAnsi="Times New Roman"/>
          <w:sz w:val="20"/>
        </w:rPr>
        <w:t xml:space="preserve">Our software also manages equity administration for each Operating Subsidiary at minimal marginal cost. Traditional equity management plans can cost upwards of six figures for a typical company to implement and maintain between external legal, tax and accounting expenses. Our integrated approach eliminates these expenses while ensuring accurate capital table management and employee equity tracking across our operating subsidiaries. </w:t>
      </w:r>
    </w:p>
    <w:p>
      <w:pPr>
        <w:pStyle w:val="TextBody"/>
        <w:bidi w:val="0"/>
        <w:spacing w:before="360" w:after="0"/>
        <w:jc w:val="left"/>
        <w:rPr>
          <w:rFonts w:ascii="Times New Roman" w:hAnsi="Times New Roman"/>
          <w:i/>
          <w:sz w:val="20"/>
        </w:rPr>
      </w:pPr>
      <w:r>
        <w:rPr>
          <w:rFonts w:ascii="Times New Roman" w:hAnsi="Times New Roman"/>
          <w:i/>
          <w:sz w:val="20"/>
        </w:rPr>
        <w:t xml:space="preserve">Centralized Cash Control and Redeployment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4325620" cy="24301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325620" cy="243014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Teamshares standardizes banking across Operating Subsidiaries and consolidates available cash into a centralized treasury structure on a regular basis. This architecture enhances financial visibility and controls while enabling efficient capital allocation across Teamshares. </w:t>
      </w:r>
    </w:p>
    <w:p>
      <w:pPr>
        <w:pStyle w:val="TextBody"/>
        <w:bidi w:val="0"/>
        <w:spacing w:before="240" w:after="0"/>
        <w:jc w:val="left"/>
        <w:rPr>
          <w:rFonts w:ascii="Times New Roman" w:hAnsi="Times New Roman"/>
          <w:sz w:val="20"/>
        </w:rPr>
      </w:pPr>
      <w:r>
        <w:rPr>
          <w:rFonts w:ascii="Times New Roman" w:hAnsi="Times New Roman"/>
          <w:sz w:val="20"/>
        </w:rPr>
        <w:t xml:space="preserve">Our cash management systems enable regular upstreaming of available free cash flow from Operating Subsidiaries, and we are building towards near full automation of such cash management. This reinvestment model provides the potential to accelerate our growth beyond organic expansion alone and serves as a defining feature of our tech-enabled acquisition strategy. </w:t>
      </w:r>
    </w:p>
    <w:p>
      <w:pPr>
        <w:pStyle w:val="TextBody"/>
        <w:bidi w:val="0"/>
        <w:spacing w:before="360" w:after="0"/>
        <w:jc w:val="left"/>
        <w:rPr>
          <w:rFonts w:ascii="Times New Roman" w:hAnsi="Times New Roman"/>
          <w:i/>
          <w:sz w:val="20"/>
        </w:rPr>
      </w:pPr>
      <w:r>
        <w:rPr>
          <w:rFonts w:ascii="Times New Roman" w:hAnsi="Times New Roman"/>
          <w:i/>
          <w:sz w:val="20"/>
        </w:rPr>
        <w:t xml:space="preserve">Teamshares’ Employee Shareholder Program </w:t>
      </w:r>
    </w:p>
    <w:p>
      <w:pPr>
        <w:pStyle w:val="TextBody"/>
        <w:bidi w:val="0"/>
        <w:spacing w:before="120" w:after="0"/>
        <w:jc w:val="left"/>
        <w:rPr>
          <w:rFonts w:ascii="Times New Roman" w:hAnsi="Times New Roman"/>
          <w:sz w:val="20"/>
        </w:rPr>
      </w:pPr>
      <w:r>
        <w:rPr>
          <w:rFonts w:ascii="Times New Roman" w:hAnsi="Times New Roman"/>
          <w:sz w:val="20"/>
        </w:rPr>
        <w:t xml:space="preserve">Teamshares incorporates its employee shareholder program in each acquired company using our proprietary software, creating a near-zero marginal administrative cost to implement and maintain the program. Our strategy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to create a positive-sum, shareholder-focused environment where employees are incentivized to stay at the company long-term and help drive profitability by giving employees an economic stake in the outcome. </w:t>
      </w:r>
    </w:p>
    <w:p>
      <w:pPr>
        <w:pStyle w:val="TextBody"/>
        <w:bidi w:val="0"/>
        <w:spacing w:before="240" w:after="0"/>
        <w:jc w:val="left"/>
        <w:rPr>
          <w:rFonts w:ascii="Times New Roman" w:hAnsi="Times New Roman"/>
          <w:sz w:val="20"/>
        </w:rPr>
      </w:pPr>
      <w:r>
        <w:rPr>
          <w:rFonts w:ascii="Times New Roman" w:hAnsi="Times New Roman"/>
          <w:sz w:val="20"/>
        </w:rPr>
        <w:t xml:space="preserve">Teamshares holds preferred stock in each of the operating subsidiaries, which allows it to maintain control of decisions that impact cash flow, capital allocation and corporate governance. Shortly after acquisition we create an employee pool of restricted common stock initially representing 10% of the operating subsidiary’s stock on a fully-diluted basis. These grants are subject to four-year vesting, in order to align employees with long-term retention and financial performance. The employee shareholder program is generally allocated to full-time employees with certain exceptions based on the nature of the business and employee base. </w:t>
      </w:r>
    </w:p>
    <w:p>
      <w:pPr>
        <w:pStyle w:val="TextBody"/>
        <w:bidi w:val="0"/>
        <w:spacing w:before="240" w:after="0"/>
        <w:jc w:val="left"/>
        <w:rPr>
          <w:rFonts w:ascii="Times New Roman" w:hAnsi="Times New Roman"/>
          <w:sz w:val="20"/>
        </w:rPr>
      </w:pPr>
      <w:r>
        <w:rPr>
          <w:rFonts w:ascii="Times New Roman" w:hAnsi="Times New Roman"/>
          <w:sz w:val="20"/>
        </w:rPr>
        <w:t xml:space="preserve">Teamshares creates mutual alignment for financial performance through dividends when the operating subsidiary exceeds a required cash balance after considering working capital and maintenance capital expenditure needs. </w:t>
      </w:r>
    </w:p>
    <w:p>
      <w:pPr>
        <w:pStyle w:val="TextBody"/>
        <w:bidi w:val="0"/>
        <w:spacing w:before="240" w:after="0"/>
        <w:jc w:val="left"/>
        <w:rPr>
          <w:rFonts w:ascii="Times New Roman" w:hAnsi="Times New Roman"/>
          <w:sz w:val="20"/>
        </w:rPr>
      </w:pPr>
      <w:r>
        <w:rPr>
          <w:rFonts w:ascii="Times New Roman" w:hAnsi="Times New Roman"/>
          <w:sz w:val="20"/>
        </w:rPr>
        <w:t xml:space="preserve">Employees are able to earn more ownership as the business succeeds and generates cash to distribute. Our employee shareholder program for employees of operating subsidiaries is reflected in our financial statements as stock-based compensation expense and classified as equity under US GAAP. See further information regarding the consolidation of operating subsidiaries, operating subsidiary capital structure, and operating subsidiary share-based compensation programs within the footnotes to the Company’s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Products and Other Revenue Opportunities </w:t>
      </w:r>
    </w:p>
    <w:p>
      <w:pPr>
        <w:pStyle w:val="TextBody"/>
        <w:bidi w:val="0"/>
        <w:spacing w:before="120" w:after="0"/>
        <w:jc w:val="left"/>
        <w:rPr>
          <w:rFonts w:ascii="Times New Roman" w:hAnsi="Times New Roman"/>
          <w:sz w:val="20"/>
        </w:rPr>
      </w:pPr>
      <w:r>
        <w:rPr>
          <w:rFonts w:ascii="Times New Roman" w:hAnsi="Times New Roman"/>
          <w:sz w:val="20"/>
        </w:rPr>
        <w:t xml:space="preserve">Teamshares believes we can create additional value for shareholders and our Operating Subsidiaries by launching and distributing products and services that replace third-party expenses, capturing profit internally and delivering a better experience. We are early in its execution of this strategy, but we have already launched business insurance and health insurance products to replace existing vendors, and we can offer a substantially similar product for the same price, or better, than a third party. While today this strategy is relatively immaterial from a financial standpoint today, we expect it to contribute materially long-term, and it is an important strategic focus and our segment reporting is designed to help disclose the financials of these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Competitive Landscape </w:t>
      </w:r>
    </w:p>
    <w:p>
      <w:pPr>
        <w:pStyle w:val="TextBody"/>
        <w:bidi w:val="0"/>
        <w:spacing w:before="120" w:after="0"/>
        <w:jc w:val="left"/>
        <w:rPr>
          <w:rFonts w:ascii="Times New Roman" w:hAnsi="Times New Roman"/>
          <w:sz w:val="20"/>
        </w:rPr>
      </w:pPr>
      <w:r>
        <w:rPr>
          <w:rFonts w:ascii="Times New Roman" w:hAnsi="Times New Roman"/>
          <w:sz w:val="20"/>
        </w:rPr>
        <w:t xml:space="preserve">The competitive landscape for SME acquisitions is highly fragmented, and as a result, Teamshares does not compete with many publicly traded SME acquirors. SME buyers typically operate at low volume: individuals may acquire only one business in their lifetime, and aside from rollups, fund-driven and institutional buyers in the SME space typically acquire a handful of companies in a decade. </w:t>
      </w:r>
    </w:p>
    <w:p>
      <w:pPr>
        <w:pStyle w:val="TextBody"/>
        <w:bidi w:val="0"/>
        <w:spacing w:before="240" w:after="0"/>
        <w:jc w:val="left"/>
        <w:rPr>
          <w:rFonts w:ascii="Times New Roman" w:hAnsi="Times New Roman"/>
          <w:sz w:val="20"/>
        </w:rPr>
      </w:pPr>
      <w:r>
        <w:rPr>
          <w:rFonts w:ascii="Times New Roman" w:hAnsi="Times New Roman"/>
          <w:sz w:val="20"/>
        </w:rPr>
        <w:t xml:space="preserve">In the sub-$1 million EBITDA segment of U.S. SMEs for sale, Teamshares predominantly competes with individuals and often first-time buyers. In the $1 to 5 million EBITDA range, typical buyers include individuals, search funds, fundless sponsors, family offices, private equity funds, and industry rollups. </w:t>
      </w:r>
    </w:p>
    <w:p>
      <w:pPr>
        <w:pStyle w:val="TextBody"/>
        <w:bidi w:val="0"/>
        <w:spacing w:before="240" w:after="0"/>
        <w:jc w:val="left"/>
        <w:rPr>
          <w:rFonts w:ascii="Times New Roman" w:hAnsi="Times New Roman"/>
          <w:sz w:val="20"/>
        </w:rPr>
      </w:pPr>
      <w:r>
        <w:rPr>
          <w:rFonts w:ascii="Times New Roman" w:hAnsi="Times New Roman"/>
          <w:sz w:val="20"/>
        </w:rPr>
        <w:t xml:space="preserve">Teamshares focuses on retirement situations where the owner has engaged a broker. We either negotiate directly as a differentiated buyer of choice, or against a small group of alternative buyers. Teamshares avoids broad auctions and industries with rollup activity to avoid potentially inflated purchase prices. </w:t>
      </w:r>
    </w:p>
    <w:p>
      <w:pPr>
        <w:pStyle w:val="TextBody"/>
        <w:bidi w:val="0"/>
        <w:spacing w:before="360" w:after="0"/>
        <w:jc w:val="left"/>
        <w:rPr>
          <w:rFonts w:ascii="Times New Roman" w:hAnsi="Times New Roman"/>
          <w:b/>
          <w:sz w:val="20"/>
        </w:rPr>
      </w:pPr>
      <w:r>
        <w:rPr>
          <w:rFonts w:ascii="Times New Roman" w:hAnsi="Times New Roman"/>
          <w:b/>
          <w:sz w:val="20"/>
        </w:rPr>
        <w:t xml:space="preserve">Differentiation as an ‘Exit of Choice’ </w:t>
      </w:r>
    </w:p>
    <w:p>
      <w:pPr>
        <w:pStyle w:val="TextBody"/>
        <w:bidi w:val="0"/>
        <w:spacing w:before="120" w:after="0"/>
        <w:jc w:val="left"/>
        <w:rPr>
          <w:rFonts w:ascii="Times New Roman" w:hAnsi="Times New Roman"/>
          <w:sz w:val="20"/>
        </w:rPr>
      </w:pPr>
      <w:r>
        <w:rPr>
          <w:rFonts w:ascii="Times New Roman" w:hAnsi="Times New Roman"/>
          <w:sz w:val="20"/>
        </w:rPr>
        <w:t xml:space="preserve">Teamshares differentiates itself against other buyers on several dimensions. For retiring owners, Teamshares brings: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 certainty of closing a transaction in the challenging and uneven SME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 credibility in transitioning businesses across industries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unique legacy with intended permanent ownership between Teamshares and employees, but structured as a simple business sale, allowing the owner to retire often within a few months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employees who are generally at-will and actively choosing to stay post-transaction, Teamshares brings: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Continuity of operations, pay, and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Enhanced financial opportunity to participate in equity and benefit from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stability of our permanent ownership model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Competitive Advantages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Teamshares benefits from several competitive strengths that support our business model and growth strategy.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Accumulating Advantage: </w:t>
            </w:r>
            <w:r>
              <w:rPr>
                <w:rFonts w:ascii="Times New Roman" w:hAnsi="Times New Roman"/>
                <w:sz w:val="20"/>
              </w:rPr>
              <w:t xml:space="preserve">We believe our operating model benefits from a flywheel in which more acquisition leads, acquired companies, richer post-closing data, more purchasing power and a growing talent pool of former owners and Presidents contribute to increasingly consistent post-acquisition performance. This improved performance may attract additional capital, which we may use to further support additional scale. As a public company, we believe we will have access to larger financing capacity and a lower cost of capital than was available to us as a private company. If achieved, a lower cost of capital would reinforce our acquisition advantages and enhance our ability to reinvest in additional acquisitions, technology and continued platform strengthening.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Diversification Advantage: </w:t>
            </w:r>
            <w:r>
              <w:rPr>
                <w:rFonts w:ascii="Times New Roman" w:hAnsi="Times New Roman"/>
                <w:sz w:val="20"/>
              </w:rPr>
              <w:t xml:space="preserve">Our deliberate industry and geographic diversification strategy emphasizes expanding our addressable market to support long-term growth and maintain selective underwriting across a broad pipeline of opportunities. We also believe our deliberate diversification can help mitigate the impact of economic cycles and headwinds that may affect specific sectors or regions, as well as avoid sectors experiencing elevated purchase multiples due to aggressive rollup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Comparative Operating Efficiency: </w:t>
            </w:r>
            <w:r>
              <w:rPr>
                <w:rFonts w:ascii="Times New Roman" w:hAnsi="Times New Roman"/>
                <w:sz w:val="20"/>
              </w:rPr>
              <w:t xml:space="preserve">Leveraging our technology and internal capabilities, we believe Teamshares can source a large universe of potential acquisition candidates per year at almost zero marginal cost and close transactions and perform due diligence at a small fraction of the six-to-seven figure transaction costs that private equity firms, fundless sponsors and search funds typically incur.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Data and Learning Curve Advantages: </w:t>
            </w:r>
            <w:r>
              <w:rPr>
                <w:rFonts w:ascii="Times New Roman" w:hAnsi="Times New Roman"/>
                <w:sz w:val="20"/>
              </w:rPr>
              <w:t xml:space="preserve">In addition to our software advantage in acquisitions, we continuously gain insights and experience from evaluating thousands of businesses per year, and from collecting and leveraging the data of over 90 companies to drive operating results. We involve our internal industry and subject matter experts in underwriting, which expands as we add more industries to Teamshares. As we find mistakes or frictions in diligence or post-closing, we create process steps to avoid these mistakes or frictions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Scale Advantage: </w:t>
            </w:r>
            <w:r>
              <w:rPr>
                <w:rFonts w:ascii="Times New Roman" w:hAnsi="Times New Roman"/>
                <w:sz w:val="20"/>
              </w:rPr>
              <w:t xml:space="preserve">With over 90 Operating Subsidiaries and significant venture capital investment that funded the build-out of our platform as we scaled, we have built a platform that would likely be difficult to replicate.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Operating Subsidiaries </w:t>
      </w:r>
    </w:p>
    <w:p>
      <w:pPr>
        <w:pStyle w:val="TextBody"/>
        <w:bidi w:val="0"/>
        <w:spacing w:before="120" w:after="0"/>
        <w:jc w:val="left"/>
        <w:rPr>
          <w:rFonts w:ascii="Times New Roman" w:hAnsi="Times New Roman"/>
          <w:sz w:val="20"/>
        </w:rPr>
      </w:pPr>
      <w:r>
        <w:rPr>
          <w:rFonts w:ascii="Times New Roman" w:hAnsi="Times New Roman"/>
          <w:sz w:val="20"/>
        </w:rPr>
        <w:t xml:space="preserve">Teamshares’ Operating Subsidiaries form the foundation of our long-term ownership model. As of the date of this prospectus, Teamshares owns and operates over 90 Operating Subsidiaries diversified across six U.S. regions, generating approximately $490 million in LTM revenue through March 31, 2026 and employing approximately 2,000 people. The average Operating Subsidiary has operated for over 35 years, reflecting Teamshares’ focus on established, cash-generative small businesses with stable customer relationships and strong community ties. </w:t>
      </w:r>
    </w:p>
    <w:p>
      <w:pPr>
        <w:pStyle w:val="TextBody"/>
        <w:bidi w:val="0"/>
        <w:spacing w:before="240" w:after="0"/>
        <w:jc w:val="left"/>
        <w:rPr>
          <w:rFonts w:ascii="Times New Roman" w:hAnsi="Times New Roman"/>
          <w:sz w:val="20"/>
        </w:rPr>
      </w:pPr>
      <w:r>
        <w:rPr>
          <w:rFonts w:ascii="Times New Roman" w:hAnsi="Times New Roman"/>
          <w:sz w:val="20"/>
        </w:rPr>
        <w:t xml:space="preserve">Teamshares’ revenues are diversified across its portfolio of over 90 operating subsidiaries, and revenues are not materially concentrated in any single operating subsidiary. During the twelve months ended March 31, 2026, the operating subsidiary with the highest revenues comprised approximately 6% of Teamshares’ consolidated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revenues. No other operating subsidiary accounted for more than 5% of consolidated revenues during this period. Our diversified portfolio across multiple industries and geographic regions is designed to mitigate concentration risk and reduce the impact of adverse developments affecting any single operating subsidiary, industry, or region. </w:t>
      </w:r>
    </w:p>
    <w:p>
      <w:pPr>
        <w:pStyle w:val="TextBody"/>
        <w:bidi w:val="0"/>
        <w:spacing w:before="360" w:after="0"/>
        <w:jc w:val="left"/>
        <w:rPr>
          <w:rFonts w:ascii="Times New Roman" w:hAnsi="Times New Roman"/>
          <w:i/>
          <w:sz w:val="20"/>
        </w:rPr>
      </w:pPr>
      <w:r>
        <w:rPr>
          <w:rFonts w:ascii="Times New Roman" w:hAnsi="Times New Roman"/>
          <w:i/>
          <w:sz w:val="20"/>
        </w:rPr>
        <w:t xml:space="preserve">Geographic Footprint </w:t>
      </w:r>
    </w:p>
    <w:p>
      <w:pPr>
        <w:pStyle w:val="TextBody"/>
        <w:bidi w:val="0"/>
        <w:spacing w:before="120" w:after="0"/>
        <w:jc w:val="left"/>
        <w:rPr>
          <w:rFonts w:ascii="Times New Roman" w:hAnsi="Times New Roman"/>
          <w:sz w:val="20"/>
        </w:rPr>
      </w:pPr>
      <w:r>
        <w:rPr>
          <w:rFonts w:ascii="Times New Roman" w:hAnsi="Times New Roman"/>
          <w:sz w:val="20"/>
        </w:rPr>
        <w:t xml:space="preserve">Our Operating Subsidiaries are distributed across the U.S., including 26 in the Northeast, 21 in the Midwest, 23 in the West, 11 in the Southeast, 8 in the Southwest and 1 in Alaska as of March 31, 2026. Teamshares has three non-US companies, one each in Canada, Japan and Switzerland. Geographic diversity mitigates concentration risk and supports sustainable growth by spreading operations across regions and building local scale, without overexposure to any single market. </w:t>
      </w:r>
    </w:p>
    <w:p>
      <w:pPr>
        <w:pStyle w:val="TextBody"/>
        <w:bidi w:val="0"/>
        <w:spacing w:before="360" w:after="0"/>
        <w:jc w:val="center"/>
        <w:rPr>
          <w:rFonts w:ascii="Times New Roman" w:hAnsi="Times New Roman"/>
          <w:b/>
          <w:sz w:val="20"/>
        </w:rPr>
      </w:pPr>
      <w:r>
        <w:rPr>
          <w:rFonts w:ascii="Times New Roman" w:hAnsi="Times New Roman"/>
          <w:b/>
          <w:sz w:val="20"/>
        </w:rPr>
        <w:t xml:space="preserve">BROAD GEOGRAPHIC DIVERSIFICATION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027930" cy="3108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027930" cy="3108325"/>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Industry Diversification </w:t>
      </w:r>
    </w:p>
    <w:p>
      <w:pPr>
        <w:pStyle w:val="TextBody"/>
        <w:bidi w:val="0"/>
        <w:spacing w:before="120" w:after="0"/>
        <w:jc w:val="left"/>
        <w:rPr>
          <w:rFonts w:ascii="Times New Roman" w:hAnsi="Times New Roman"/>
          <w:sz w:val="20"/>
        </w:rPr>
      </w:pPr>
      <w:r>
        <w:rPr>
          <w:rFonts w:ascii="Times New Roman" w:hAnsi="Times New Roman"/>
          <w:sz w:val="20"/>
        </w:rPr>
        <w:t xml:space="preserve">We focus on acquiring businesses in fragmented industries characterized by stable demand, essential service offerings, and recurring revenue characteristics. Our Operating Subsidiaries span a balanced mix of durable SME sectors, including consumer goods (28% of revenue), business services (14%), building products (17%), food and beverage (24%), technical services (9%) and distribution (8%). While Teamshares may observe certain macroeconomic trends across the industries and geographical locations of its operating subsidiaries, such as (but not limited to) rising inflation and monetary supply shifts, rising interest rates, labor shortages, declines in consumer confidence, declines in economic growth, increases in unemployment rates, recession risks and uncertainty about economic and geopolitical stability, we believe our diversified approach dampens cyclicality and provides a strong earnings base across economic cycles. We expect this mix to continue to evolve over time based on deliberate diversification and continued expansion into industries where businesses meet our structural investment criteria. To date, the macroeconomic trends discussed above have not had a material adverse impact on our business, financial condition or results of operations. If, however, economic uncertainty increases or the global economy worsens, our business, financial condition and results of operations may be harmed.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SIGNIFICANT INDUSTRY DIVERSIFICATION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50945" cy="304228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750945" cy="304228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Our Culture of Trust, Innovation, and Alignment </w:t>
      </w:r>
    </w:p>
    <w:p>
      <w:pPr>
        <w:pStyle w:val="TextBody"/>
        <w:bidi w:val="0"/>
        <w:spacing w:before="120" w:after="0"/>
        <w:jc w:val="left"/>
        <w:rPr>
          <w:rFonts w:ascii="Times New Roman" w:hAnsi="Times New Roman"/>
          <w:sz w:val="20"/>
        </w:rPr>
      </w:pPr>
      <w:r>
        <w:rPr>
          <w:rFonts w:ascii="Times New Roman" w:hAnsi="Times New Roman"/>
          <w:sz w:val="20"/>
        </w:rPr>
        <w:t xml:space="preserve">Equity alignment is directly wired into our business model, with trust and innovation driven and reinforced by our core values. Given the flywheel effect of our business, when one Operating Subsidiary succeeds, Teamshares becomes stronger as a whole. This compounding effect cannot be achieved without trust amongst all of our stakeholders – trust serves as our invisible leverage, and is our most important core value. Our commitment to innovation occurs through our product development and process engineering cycles, and is also instilled through our ongoing commitment to challenge key assumptions and startup-style experimentation. Trust and innovation serve as the backbone to our overarching goal of alignment amongst investors, Operating Subsidiaries and their employees, Presidents and former owners. </w:t>
      </w:r>
    </w:p>
    <w:p>
      <w:pPr>
        <w:pStyle w:val="TextBody"/>
        <w:bidi w:val="0"/>
        <w:spacing w:before="360" w:after="0"/>
        <w:jc w:val="left"/>
        <w:rPr>
          <w:rFonts w:ascii="Times New Roman" w:hAnsi="Times New Roman"/>
          <w:b/>
          <w:sz w:val="20"/>
        </w:rPr>
      </w:pPr>
      <w:r>
        <w:rPr>
          <w:rFonts w:ascii="Times New Roman" w:hAnsi="Times New Roman"/>
          <w:b/>
          <w:sz w:val="20"/>
        </w:rPr>
        <w:t xml:space="preserve">Our Operations </w:t>
      </w:r>
    </w:p>
    <w:p>
      <w:pPr>
        <w:pStyle w:val="TextBody"/>
        <w:bidi w:val="0"/>
        <w:spacing w:before="120" w:after="0"/>
        <w:jc w:val="left"/>
        <w:rPr>
          <w:rFonts w:ascii="Times New Roman" w:hAnsi="Times New Roman"/>
          <w:i/>
          <w:sz w:val="20"/>
        </w:rPr>
      </w:pPr>
      <w:r>
        <w:rPr>
          <w:rFonts w:ascii="Times New Roman" w:hAnsi="Times New Roman"/>
          <w:i/>
          <w:sz w:val="20"/>
        </w:rPr>
        <w:t xml:space="preserve">Our Employees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Teamshares had over 90 employees consisting primarily of general and administrative and technical functions including finance, operations and technology. </w:t>
      </w:r>
    </w:p>
    <w:p>
      <w:pPr>
        <w:pStyle w:val="TextBody"/>
        <w:bidi w:val="0"/>
        <w:spacing w:before="360" w:after="0"/>
        <w:jc w:val="left"/>
        <w:rPr>
          <w:rFonts w:ascii="Times New Roman" w:hAnsi="Times New Roman"/>
          <w:i/>
          <w:sz w:val="20"/>
        </w:rPr>
      </w:pPr>
      <w:r>
        <w:rPr>
          <w:rFonts w:ascii="Times New Roman" w:hAnsi="Times New Roman"/>
          <w:i/>
          <w:sz w:val="20"/>
        </w:rPr>
        <w:t xml:space="preserve">Our Facilities </w:t>
      </w:r>
    </w:p>
    <w:p>
      <w:pPr>
        <w:pStyle w:val="TextBody"/>
        <w:bidi w:val="0"/>
        <w:spacing w:before="120" w:after="0"/>
        <w:jc w:val="left"/>
        <w:rPr>
          <w:rFonts w:ascii="Times New Roman" w:hAnsi="Times New Roman"/>
          <w:sz w:val="20"/>
        </w:rPr>
      </w:pPr>
      <w:r>
        <w:rPr>
          <w:rFonts w:ascii="Times New Roman" w:hAnsi="Times New Roman"/>
          <w:sz w:val="20"/>
        </w:rPr>
        <w:t xml:space="preserve">Teamshares’ headquarters are located in 214 Sullivan Street, 3B, New York, NY 10012. Teamshares considers its current office space adequate for its current operations, particularly given our primarily distributed corporate operations. Teamshares’ headquarters is primarily used for senior management, finance, operations and information technology. </w:t>
      </w:r>
    </w:p>
    <w:p>
      <w:pPr>
        <w:pStyle w:val="TextBody"/>
        <w:bidi w:val="0"/>
        <w:spacing w:before="360" w:after="0"/>
        <w:jc w:val="left"/>
        <w:rPr>
          <w:rFonts w:ascii="Times New Roman" w:hAnsi="Times New Roman"/>
          <w:i/>
          <w:sz w:val="20"/>
        </w:rPr>
      </w:pPr>
      <w:r>
        <w:rPr>
          <w:rFonts w:ascii="Times New Roman" w:hAnsi="Times New Roman"/>
          <w:i/>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various local, state, federal and international laws and regulations, and it is our policy to comply with the applicable laws in each jurisdiction in which we conduct business. Regulations include but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limited to those related to environment, competition, product safety, workplace health and safety, employment, labor and data privacy. </w:t>
      </w:r>
    </w:p>
    <w:p>
      <w:pPr>
        <w:pStyle w:val="TextBody"/>
        <w:bidi w:val="0"/>
        <w:spacing w:before="360" w:after="0"/>
        <w:jc w:val="left"/>
        <w:rPr>
          <w:rFonts w:ascii="Times New Roman" w:hAnsi="Times New Roman"/>
          <w:i/>
          <w:sz w:val="20"/>
        </w:rPr>
      </w:pPr>
      <w:r>
        <w:rPr>
          <w:rFonts w:ascii="Times New Roman" w:hAnsi="Times New Roman"/>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 involved in various legal proceedings arising from the ordinary course of business activities. We are not presently a party to any litigation the outcome of which we believe, if determined adversely to us, would individually or taken together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58823_13"/>
      <w:bookmarkEnd w:id="15"/>
      <w:r>
        <w:rPr>
          <w:rFonts w:ascii="Times New Roman" w:hAnsi="Times New Roman"/>
          <w:b/>
          <w:sz w:val="20"/>
        </w:rPr>
        <w:t xml:space="preserve">MANAGEMENT </w:t>
      </w:r>
    </w:p>
    <w:p>
      <w:pPr>
        <w:pStyle w:val="TextBody"/>
        <w:bidi w:val="0"/>
        <w:spacing w:before="240" w:after="0"/>
        <w:jc w:val="left"/>
        <w:rPr>
          <w:rFonts w:ascii="Times New Roman" w:hAnsi="Times New Roman"/>
          <w:sz w:val="20"/>
        </w:rPr>
      </w:pPr>
      <w:r>
        <w:rPr>
          <w:rFonts w:ascii="Times New Roman" w:hAnsi="Times New Roman"/>
          <w:sz w:val="20"/>
        </w:rPr>
        <w:t xml:space="preserve">Our Board comprises five directors: Michael Brown, Alex Eu, Richard Hendrix, Adam Fishman and Evan Moore.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as of the date of this prospectus, concerning the names, ages and positions of the individuals who currently serve as our executive officers and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16"/>
        <w:gridCol w:w="193"/>
        <w:gridCol w:w="79"/>
        <w:gridCol w:w="346"/>
        <w:gridCol w:w="60"/>
        <w:gridCol w:w="193"/>
        <w:gridCol w:w="6118"/>
      </w:tblGrid>
      <w:tr>
        <w:trPr/>
        <w:tc>
          <w:tcPr>
            <w:tcW w:w="3216"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6118" w:type="dxa"/>
            <w:tcBorders/>
            <w:vAlign w:val="center"/>
          </w:tcPr>
          <w:p>
            <w:pPr>
              <w:pStyle w:val="TableContents"/>
              <w:bidi w:val="0"/>
              <w:spacing w:before="0" w:after="283"/>
              <w:jc w:val="left"/>
              <w:rPr>
                <w:sz w:val="4"/>
                <w:szCs w:val="4"/>
              </w:rPr>
            </w:pPr>
            <w:r>
              <w:rPr>
                <w:sz w:val="4"/>
                <w:szCs w:val="4"/>
              </w:rPr>
            </w:r>
          </w:p>
        </w:tc>
      </w:tr>
      <w:tr>
        <w:trPr/>
        <w:tc>
          <w:tcPr>
            <w:tcW w:w="32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93"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Position</w:t>
            </w:r>
          </w:p>
        </w:tc>
      </w:tr>
      <w:tr>
        <w:trPr/>
        <w:tc>
          <w:tcPr>
            <w:tcW w:w="3216"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Executive Officers</w:t>
            </w:r>
          </w:p>
        </w:tc>
        <w:tc>
          <w:tcPr>
            <w:tcW w:w="19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bidi w:val="0"/>
              <w:spacing w:before="0" w:after="283"/>
              <w:jc w:val="left"/>
              <w:rPr>
                <w:sz w:val="4"/>
                <w:szCs w:val="4"/>
              </w:rPr>
            </w:pPr>
            <w:r>
              <w:rPr>
                <w:sz w:val="4"/>
                <w:szCs w:val="4"/>
              </w:rPr>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Michael Brown</w:t>
            </w:r>
          </w:p>
        </w:tc>
        <w:tc>
          <w:tcPr>
            <w:tcW w:w="19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bidi w:val="0"/>
              <w:spacing w:before="0" w:after="283"/>
              <w:jc w:val="left"/>
              <w:rPr/>
            </w:pPr>
            <w:r>
              <w:rPr/>
              <w:t>Chief Executive Officer, Director</w:t>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Brian Gaebe</w:t>
            </w:r>
          </w:p>
        </w:tc>
        <w:tc>
          <w:tcPr>
            <w:tcW w:w="19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bidi w:val="0"/>
              <w:spacing w:before="0" w:after="283"/>
              <w:jc w:val="left"/>
              <w:rPr/>
            </w:pPr>
            <w:r>
              <w:rPr/>
              <w:t>Chief Financial Officer</w:t>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Madhuri Kommareddi</w:t>
            </w:r>
          </w:p>
        </w:tc>
        <w:tc>
          <w:tcPr>
            <w:tcW w:w="19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bidi w:val="0"/>
              <w:spacing w:before="0" w:after="283"/>
              <w:jc w:val="left"/>
              <w:rPr/>
            </w:pPr>
            <w:r>
              <w:rPr/>
              <w:t>Chief Operating Officer</w:t>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Alex Eu</w:t>
            </w:r>
          </w:p>
        </w:tc>
        <w:tc>
          <w:tcPr>
            <w:tcW w:w="19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bidi w:val="0"/>
              <w:spacing w:before="0" w:after="283"/>
              <w:jc w:val="left"/>
              <w:rPr/>
            </w:pPr>
            <w:r>
              <w:rPr/>
              <w:t>President, Director</w:t>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Kevin Shiiba</w:t>
            </w:r>
          </w:p>
        </w:tc>
        <w:tc>
          <w:tcPr>
            <w:tcW w:w="19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bidi w:val="0"/>
              <w:spacing w:before="0" w:after="283"/>
              <w:jc w:val="left"/>
              <w:rPr/>
            </w:pPr>
            <w:r>
              <w:rPr/>
              <w:t>Chief Technology Officer</w:t>
            </w:r>
          </w:p>
        </w:tc>
      </w:tr>
      <w:tr>
        <w:trPr/>
        <w:tc>
          <w:tcPr>
            <w:tcW w:w="3216"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Non-Employee Directors</w:t>
            </w:r>
          </w:p>
        </w:tc>
        <w:tc>
          <w:tcPr>
            <w:tcW w:w="19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bidi w:val="0"/>
              <w:spacing w:before="0" w:after="283"/>
              <w:jc w:val="left"/>
              <w:rPr>
                <w:sz w:val="4"/>
                <w:szCs w:val="4"/>
              </w:rPr>
            </w:pPr>
            <w:r>
              <w:rPr>
                <w:sz w:val="4"/>
                <w:szCs w:val="4"/>
              </w:rPr>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Richard J. Hendrix(1)(2)(3)</w:t>
            </w:r>
          </w:p>
        </w:tc>
        <w:tc>
          <w:tcPr>
            <w:tcW w:w="19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bidi w:val="0"/>
              <w:spacing w:before="0" w:after="283"/>
              <w:jc w:val="left"/>
              <w:rPr/>
            </w:pPr>
            <w:r>
              <w:rPr/>
              <w:t>Independent Director and Chairman of the Board</w:t>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Adam Fishman(1)(2)(3)</w:t>
            </w:r>
          </w:p>
        </w:tc>
        <w:tc>
          <w:tcPr>
            <w:tcW w:w="19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bidi w:val="0"/>
              <w:spacing w:before="0" w:after="283"/>
              <w:jc w:val="left"/>
              <w:rPr/>
            </w:pPr>
            <w:r>
              <w:rPr/>
              <w:t>Independent Director</w:t>
            </w:r>
          </w:p>
        </w:tc>
      </w:tr>
      <w:tr>
        <w:trPr/>
        <w:tc>
          <w:tcPr>
            <w:tcW w:w="3216" w:type="dxa"/>
            <w:tcBorders/>
          </w:tcPr>
          <w:p>
            <w:pPr>
              <w:pStyle w:val="TableContents"/>
              <w:bidi w:val="0"/>
              <w:spacing w:before="0" w:after="0"/>
              <w:jc w:val="left"/>
              <w:rPr>
                <w:rFonts w:ascii="Times New Roman" w:hAnsi="Times New Roman"/>
                <w:sz w:val="20"/>
              </w:rPr>
            </w:pPr>
            <w:r>
              <w:rPr>
                <w:rFonts w:ascii="Times New Roman" w:hAnsi="Times New Roman"/>
                <w:sz w:val="20"/>
              </w:rPr>
              <w:t>Evan Moore(1)(2)(3)</w:t>
            </w:r>
          </w:p>
        </w:tc>
        <w:tc>
          <w:tcPr>
            <w:tcW w:w="19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118" w:type="dxa"/>
            <w:tcBorders/>
            <w:vAlign w:val="bottom"/>
          </w:tcPr>
          <w:p>
            <w:pPr>
              <w:pStyle w:val="TableContents"/>
              <w:bidi w:val="0"/>
              <w:spacing w:before="0" w:after="283"/>
              <w:jc w:val="left"/>
              <w:rPr/>
            </w:pPr>
            <w:r>
              <w:rPr/>
              <w:t>Independent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officers and directors are well qualified as leaders. In their prior positions they have gained experience in core management skills, such as strategic and financial planning, financial reporting, compliance, risk management, and leadership development. Several of our officers and directors also have experience serving on boards of directors and board committees of other public companies and private companies, and have an understanding of corporate governance practices and trends, which provides an understanding of different business processes, challenges, and strategies. Further, certain officers and directors have other experience that makes them valuable, such as prior experience in mergers and acquisitions, in financial services, and managing and investing in assets.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above-mentioned attributes, along with the leadership skills and other experiences of our officers and directors described below, provide us with broad perspectives and sound judgment necessary to achieve our goals and act as effective stewards of capital. </w:t>
      </w:r>
    </w:p>
    <w:p>
      <w:pPr>
        <w:pStyle w:val="TextBody"/>
        <w:bidi w:val="0"/>
        <w:spacing w:before="120" w:after="0"/>
        <w:jc w:val="left"/>
        <w:rPr>
          <w:rFonts w:ascii="Times New Roman" w:hAnsi="Times New Roman"/>
          <w:sz w:val="20"/>
        </w:rPr>
      </w:pPr>
      <w:r>
        <w:rPr>
          <w:rFonts w:ascii="Times New Roman" w:hAnsi="Times New Roman"/>
          <w:b/>
          <w:i/>
          <w:sz w:val="20"/>
        </w:rPr>
        <w:t xml:space="preserve">Michael Brown. </w:t>
      </w:r>
      <w:r>
        <w:rPr>
          <w:rFonts w:ascii="Times New Roman" w:hAnsi="Times New Roman"/>
          <w:sz w:val="20"/>
        </w:rPr>
        <w:t>Mr. Brown is a Co-founder of the Company and has served as Chief Executive Officer and Director of the Company since June 2026. Michael Brown was the Chief Executive Officer of Legacy Teamshares, where he leads the company’s long-term vision and strategy, and focuses day-to-day on acquisition and capital activities. Mr. Brown began his career in finance, spending seven years combined at Perella Weinberg Partners (“</w:t>
      </w:r>
      <w:r>
        <w:rPr>
          <w:rFonts w:ascii="Times New Roman" w:hAnsi="Times New Roman"/>
          <w:b/>
          <w:sz w:val="20"/>
        </w:rPr>
        <w:t>PWP</w:t>
      </w:r>
      <w:r>
        <w:rPr>
          <w:rFonts w:ascii="Times New Roman" w:hAnsi="Times New Roman"/>
          <w:sz w:val="20"/>
        </w:rPr>
        <w:t xml:space="preserve">”), Morgan Stanley, and Bank of America, working on mergers and acquisitions, financial restructuring, and equity research. After leaving investment banking in 2013, Mr. Brown acquired and ran six small businesses alongside former PWP colleague Alex Eu, where they adapted their institutional M&amp;A experience to the small business market, created a repeatable playbook to transition businesses from retiring founders, and learned about the win-win nature of employee stock ownership from a major customer. In 2019, Mr. Brown and Alex Eu co-founded Legacy Teamshares with another PWP colleague, Kevin Shiiba. Mr. Brown is Canadian, originally from Victoria, BC, and grew up as an expat in Singapore and Saudi Arabia before his family settled in Southern California. He is a graduate of UCLA, where Michael studied economics and political science, and lives in New York City. </w:t>
      </w:r>
    </w:p>
    <w:p>
      <w:pPr>
        <w:pStyle w:val="TextBody"/>
        <w:bidi w:val="0"/>
        <w:spacing w:before="120" w:after="0"/>
        <w:jc w:val="left"/>
        <w:rPr>
          <w:rFonts w:ascii="Times New Roman" w:hAnsi="Times New Roman"/>
          <w:sz w:val="20"/>
        </w:rPr>
      </w:pPr>
      <w:r>
        <w:rPr>
          <w:rFonts w:ascii="Times New Roman" w:hAnsi="Times New Roman"/>
          <w:b/>
          <w:i/>
          <w:sz w:val="20"/>
        </w:rPr>
        <w:t xml:space="preserve">Brian Gaebe. </w:t>
      </w:r>
      <w:r>
        <w:rPr>
          <w:rFonts w:ascii="Times New Roman" w:hAnsi="Times New Roman"/>
          <w:sz w:val="20"/>
        </w:rPr>
        <w:t xml:space="preserve">Mr. Gaebe has served as Chief Financial Officer of the Company since June 2026. Brian Gaebe was also the Chief Financial Officer of Legacy Teamshares, having joined the company in March 2021. As Chief Financial Officer, he oversees the corporate accounting, financial reporting, finance integrations, financial systems, the tax and valuation teams, and is heavily involved in capital activities. Prior to joining Legacy Teamshares, he served as a financial executive at publicly traded and privately held energy companies. During his tenure, he focused on the generation and evaluation of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opportunities, as well as all aspects of accounting and treasury. Mr. Gaebe started his career in the audit and risk advisory practice of KPMG. Mr. Gaebe is a graduate of Southern Methodist University with BBA and MSA (Master of Science in Accounting) degrees. He is a certified public accountant in the state of Texas. He lives in Dallas, Texas. </w:t>
      </w:r>
    </w:p>
    <w:p>
      <w:pPr>
        <w:pStyle w:val="TextBody"/>
        <w:bidi w:val="0"/>
        <w:spacing w:before="120" w:after="0"/>
        <w:jc w:val="left"/>
        <w:rPr>
          <w:rFonts w:ascii="Times New Roman" w:hAnsi="Times New Roman"/>
          <w:sz w:val="20"/>
        </w:rPr>
      </w:pPr>
      <w:r>
        <w:rPr>
          <w:rFonts w:ascii="Times New Roman" w:hAnsi="Times New Roman"/>
          <w:b/>
          <w:i/>
          <w:sz w:val="20"/>
        </w:rPr>
        <w:t xml:space="preserve">Madhuri Kommareddi. </w:t>
      </w:r>
      <w:r>
        <w:rPr>
          <w:rFonts w:ascii="Times New Roman" w:hAnsi="Times New Roman"/>
          <w:sz w:val="20"/>
        </w:rPr>
        <w:t xml:space="preserve">Ms. Kommareddi has served as Chief Operating Officer of the Company since June 2026. Madhuri Kommareddi was the Chief Operating Officer of Legacy Teamshares, having joined the company in March 2021. Ms. Kommareddi leads operations alongside President, Alex Eu. Previously, Ms. Kommareddi held leadership roles in the public and private sectors, including Director of Workforce Development for New York State from April 2019 to February 2021, various roles from May 2015 to April 2019, including Director and Head of Credit Investor Relations &amp; Product Management at BlackRock, and Director for International Economic Affairs at the White House National Security Council and National Economic Council from August 2009 to August 2010. A graduate of Yale Law School, where she served on the Yale Law Journal, and Northwestern University, Ms. Kommareddi has contributed to two of President Obama’s New York Times-bestselling books, “Change We Can Believe In” and “The Audacity of Hope.” Ms. Kommareddi lives in New York City. </w:t>
      </w:r>
    </w:p>
    <w:p>
      <w:pPr>
        <w:pStyle w:val="TextBody"/>
        <w:bidi w:val="0"/>
        <w:spacing w:before="120" w:after="0"/>
        <w:jc w:val="left"/>
        <w:rPr>
          <w:rFonts w:ascii="Times New Roman" w:hAnsi="Times New Roman"/>
          <w:sz w:val="20"/>
        </w:rPr>
      </w:pPr>
      <w:r>
        <w:rPr>
          <w:rFonts w:ascii="Times New Roman" w:hAnsi="Times New Roman"/>
          <w:b/>
          <w:i/>
          <w:sz w:val="20"/>
        </w:rPr>
        <w:t>Alex Eu</w:t>
      </w:r>
      <w:r>
        <w:rPr>
          <w:rFonts w:ascii="Times New Roman" w:hAnsi="Times New Roman"/>
          <w:sz w:val="20"/>
        </w:rPr>
        <w:t xml:space="preserve">. Mr. Eu is a Co-founder of the Company and has served as President and Director since June 2026. Alex Eu was also President of Legacy Teamshares, where he leads operations in close partnership with the company’s Chief Financial Officer and Chief Operating Officer. Prior to co-founding Legacy Teamshares, Mr. Eu acquired and operated six small businesses alongside Michael Brown. Earlier in his career, he was an early member of the investment team at The Chernin Group from July 2013 to August 2014, focusing on investments and operations in online media businesses, and a member of the advisory team at PWP from July 2011 to August 2013. Born in Singapore, Mr. Eu served as a platoon sergeant in the Singapore Armed Forces. He is a graduate of the Kelley School of Business at Indiana University and lives in Minneapolis, Minnesota. </w:t>
      </w:r>
    </w:p>
    <w:p>
      <w:pPr>
        <w:pStyle w:val="TextBody"/>
        <w:bidi w:val="0"/>
        <w:spacing w:before="120" w:after="0"/>
        <w:jc w:val="left"/>
        <w:rPr>
          <w:rFonts w:ascii="Times New Roman" w:hAnsi="Times New Roman"/>
          <w:sz w:val="20"/>
        </w:rPr>
      </w:pPr>
      <w:r>
        <w:rPr>
          <w:rFonts w:ascii="Times New Roman" w:hAnsi="Times New Roman"/>
          <w:b/>
          <w:i/>
          <w:sz w:val="20"/>
        </w:rPr>
        <w:t>Kevin Shiiba</w:t>
      </w:r>
      <w:r>
        <w:rPr>
          <w:rFonts w:ascii="Times New Roman" w:hAnsi="Times New Roman"/>
          <w:sz w:val="20"/>
        </w:rPr>
        <w:t xml:space="preserve">. Mr. Shiiba has served as Chief Technology Officer of the Company since June 2026. Kevin Shiiba was the Chief Technology Officer of Legacy Teamshares, where he oversees technology and AI strategy as well as product development. Mr. Shiiba began his career in finance at PWP, working alongside future co-founders Michael Brown and Alex Eu on the M&amp;A advisory team. He transitioned to technology as a Product Manager at General Assembly from May 2012 to February 2016, and later served as a Senior Engineer and Product Strategist at Reaktor from September 2016 to January 2018. In 2018, Mr. Shiiba joined Michael and Alex to build what became Legacy Teamshares in 2019. Mr. Shiiba graduated from the McDonough School of Business at Georgetown University and lives in New York City.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i/>
          <w:sz w:val="20"/>
        </w:rPr>
        <w:t>Richard J. Hendrix</w:t>
      </w:r>
      <w:r>
        <w:rPr>
          <w:rFonts w:ascii="Times New Roman" w:hAnsi="Times New Roman"/>
          <w:sz w:val="20"/>
        </w:rPr>
        <w:t xml:space="preserve">. Mr. Hendrix has served as Director and Chairman of the Board of the Company since June 2026. Richard Hendrix is the founder and Managing Partner of Live Oak. Founded in 2019, Live Oak is a merchant banking firm specializing in Principal Investments, SPAC Sponsorship, and Corporate Advisory. Live Oak partners with founders, sponsors, and management teams to assist companies with growth strategies and access to efficient sources of capital. Over the course of his career, Mr. Hendrix has worked extensively with issuers and investors focused on companies in the financial services, real estate, energy, industrial, and business and consumer services sectors. He has led dozens of initial equity offerings, raising funds for founder-led and sponsor-backed companies. Additionally, Mr. Hendrix has considerable experience advising chief executives, boards of directors, and large shareholders regarding corporate strategy, capital structure, and capital access. Mr. Hendrix has served as the Chief Executive Officer of four Live Oak-sponsored SPACs, including vehicles that merged with Danimer Scientific (NYSE: DNMR) and Navitas Semiconductor (NASDAQ: NVTS), as further discussed below. Mr. Hendrix currently serves as the Chair of the Board of Navitas. Mr. Hendrix has significant leadership experience in the financial industry. Prior to founding Live Oak, Mr. Hendrix served as Chairman and Chief Executive Officer of FBR &amp; Co., or FBR (formerly NASDAQ: FBRC), a middle-market focused investment banking and brokerage firm. 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assumed that role in January 2009, and subsequently oversaw 12 strategic transactions, including six acquisitions. Under his leadership, FBR ultimately executed a merger with B. Riley Financial, Inc. (NASDAQ: RILY) in 2017. Following the merger, Mr. Hendrix served as director of B. Riley Financial. Prior to serving as Chairman and Chief Executive Officer of FBR, Mr. Hendrix was President and Chief Operating Officer for FBR’s parent company, Arlington Asset Investment Corp. (former NYSE: AAIC), where he managed day-to-day operations for the firm, as well as served as its Chief Investment Officer. He oversaw both FBR’s carveout from AAIC and its subsequent IPO as an independent company. Prior to his roles as President and then Chief Executive Officer, he was Head of Investment Banking, and prior to that role headed FBR’s real estate and industrials investment banking groups. Over his tenure, he helped to grow FBR into a leading bookrunner for initial common stock offerings for middle market U.S. companies. Prior to FBR, Mr. Hendrix was a Managing Director in PNC Capital Markets’ investment banking group and headed PNC’s asset-backed securities business. Mr. Hendrix is an Operating Executive at Crestview Partners, a middle-market focused private equity firm. He is also the Founder and Chief Executive Officer of RJH Management Co, a privately held investment management business. Mr. Hendrix graduated from Miami University with a BS in Finance. </w:t>
      </w:r>
    </w:p>
    <w:p>
      <w:pPr>
        <w:pStyle w:val="TextBody"/>
        <w:bidi w:val="0"/>
        <w:spacing w:before="120" w:after="0"/>
        <w:jc w:val="left"/>
        <w:rPr>
          <w:rFonts w:ascii="Times New Roman" w:hAnsi="Times New Roman"/>
          <w:sz w:val="20"/>
        </w:rPr>
      </w:pPr>
      <w:r>
        <w:rPr>
          <w:rFonts w:ascii="Times New Roman" w:hAnsi="Times New Roman"/>
          <w:b/>
          <w:i/>
          <w:sz w:val="20"/>
        </w:rPr>
        <w:t>Adam Fishman</w:t>
      </w:r>
      <w:r>
        <w:rPr>
          <w:rFonts w:ascii="Times New Roman" w:hAnsi="Times New Roman"/>
          <w:sz w:val="20"/>
        </w:rPr>
        <w:t xml:space="preserve">. Mr. Fishman has served as a Director of the Company since June 2026. Prior to the Business Combination, Adam Fishman served as Chief Financial Officer, Director and Managing Partner at Live Oak, where he also served as an executive officer of three other Live Oak-sponsored SPACs starting with Live Oak Acquisition Corp. II. Mr. Fishman joined the firm from Jefferies LLC, where he was a Managing Director from February 2018 to November 2020 and started the firm’s Permanent Capital Group. Mr. Fishman originated and executed SPAC transactions, including initial public offerings, assisting management in evaluating targets for merger consideration, and structuring and executing PIPE investments to support mergers. He was also responsible for originating and marketing pre-IPO private placements for companies across all industries. Prior to joining Jefferies, Mr. Fishman was an Executive Vice President and Head of Institutional Brokerage at FBR (formerly NASDAQ: FBRC), a middle market focused investment banking and brokerage firm. At FBR, he led the collective Research, Sales and Trading organizations. Mr. Fishman was responsible for relationship management for a broad range of investors such as Mutual Funds, Hedge Funds, Alternative Asset Managers, Pensions, Endowments, Insurance and Family Offices. During his tenure, FBR was a top 3 lead-left bookrunner for initial common stock offerings for small and mid-cap companies, including late-stage private placements executed under Rule 144A and IPOs. Mr. Fishman also served on FBR’s Commitment Committee, where he was responsible for analyzing, structuring and selling all public and private investment offerings, and was a Named Executive Officer for FBR. As a member of the firm’s Executive Committee, Mr. Fishman was a key contributor to the firm’s strategic vision and execution, including evaluating and executing numerous corporate acquisitions, divestments and partnerships. Mr. Fishman began his career as an Associate Director in the New York office of CIBC World Markets. He graduated from Brandeis University with a B.A in Sociology, cum laude. </w:t>
      </w:r>
    </w:p>
    <w:p>
      <w:pPr>
        <w:pStyle w:val="TextBody"/>
        <w:bidi w:val="0"/>
        <w:spacing w:before="120" w:after="0"/>
        <w:jc w:val="left"/>
        <w:rPr>
          <w:rFonts w:ascii="Times New Roman" w:hAnsi="Times New Roman"/>
          <w:sz w:val="20"/>
        </w:rPr>
      </w:pPr>
      <w:r>
        <w:rPr>
          <w:rFonts w:ascii="Times New Roman" w:hAnsi="Times New Roman"/>
          <w:b/>
          <w:i/>
          <w:sz w:val="20"/>
        </w:rPr>
        <w:t xml:space="preserve">Evan Moore. </w:t>
      </w:r>
      <w:r>
        <w:rPr>
          <w:rFonts w:ascii="Times New Roman" w:hAnsi="Times New Roman"/>
          <w:sz w:val="20"/>
        </w:rPr>
        <w:t xml:space="preserve">Mr. Moore has served as a Director of the Company since June 2026. Evan Moore was formerly a Partner at Khosla Ventures, a venture capital firm, and has served on the board of directors of Teamshares since March 2021. Prior to joining Khosla Ventures, Mr. Moore served as Vice President of Product at Opendoor Labs, Inc., a real estate technology company, from 2014 to 2018. Earlier in his career, he was a Co-founder of DoorDash, Inc. from 2013 to 2014. Mr. Moore holds an M.B.A. from Stanford University and a B.F.A. in Music from New York University and resides in Chicago, Illinois.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Composition of our Board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affairs are managed under the direction of our Board. Our Board includes Michael Brown, Alex Eu, Richard Hendrix, Adam Fishman and Evan Moore. The Board has determined that Richard Hendrix, Adam Fishman and Evan Moore qualify as independent in accordance with applicable Nasdaq and SEC rules. Subject to the terms of our Charter and the Bylaws, the number of directors of the Company is fixed by our Board and is initially fixed at five (5)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When considering whether directors and director nominees have the experience, qualifications, attributes and skills, taken as a whole, to enable our Board to satisfy its oversight responsibilities effectively in light of its business and structure, our Board expects to focus primarily on each person’s background and experience as reflected in the information discussed in each of the directors’ individual biographies set forth above in order to provide an appropriate mix of experience and skills relevant to the size and nature of its business.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Live Oak was granted the right to designate two directors for election to our Board, one of which must meet the applicable independence requirements under Nasdaq and SEC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Under our Corporate Governance Guidelines and the Nasdaq rules, a director is not independent unless our Board affirmatively determines that he or she does not have a direct or indirect material relationship with the Company or any of its subsidiaries. In addition, the director must not be precluded from qualifying as independent under the per se bars set forth by the Nasdaq rules. </w:t>
      </w:r>
    </w:p>
    <w:p>
      <w:pPr>
        <w:pStyle w:val="TextBody"/>
        <w:bidi w:val="0"/>
        <w:spacing w:before="240" w:after="0"/>
        <w:jc w:val="left"/>
        <w:rPr>
          <w:rFonts w:ascii="Times New Roman" w:hAnsi="Times New Roman"/>
          <w:sz w:val="20"/>
        </w:rPr>
      </w:pPr>
      <w:r>
        <w:rPr>
          <w:rFonts w:ascii="Times New Roman" w:hAnsi="Times New Roman"/>
          <w:sz w:val="20"/>
        </w:rPr>
        <w:t xml:space="preserve">Our Board undertook a review of its composition, the composition of its committees and the independence of its directors and considered whether any director has a material relationship with the Company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has determined that Richard Hendrix, Adam Fishman and Evan Moore do not have a relationship that would interfere with the exercise of independent judgment in carrying out the responsibilities of a director and that each of these directors qualifies as “independent” as that term is defined under the Nasdaq rules. In making these determinations, our Board considered the relationships that each non-employee director has with the Company and all other facts and circumstances our Board deemed relevant in determining their independence, including the director’s beneficial ownership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Committees of our Board </w:t>
      </w:r>
    </w:p>
    <w:p>
      <w:pPr>
        <w:pStyle w:val="TextBody"/>
        <w:bidi w:val="0"/>
        <w:spacing w:before="120" w:after="0"/>
        <w:jc w:val="left"/>
        <w:rPr>
          <w:rFonts w:ascii="Times New Roman" w:hAnsi="Times New Roman"/>
          <w:sz w:val="20"/>
        </w:rPr>
      </w:pPr>
      <w:r>
        <w:rPr>
          <w:rFonts w:ascii="Times New Roman" w:hAnsi="Times New Roman"/>
          <w:sz w:val="20"/>
        </w:rPr>
        <w:t xml:space="preserve">Our Board directs the management of our business and affairs, as provided by Delaware law, and conducts its business through meetings of the board of directors and standing committees. We have a standing audit committee, compensation committee and nominating and corporate governance committee, each of which operates under a written charter. </w:t>
      </w:r>
    </w:p>
    <w:p>
      <w:pPr>
        <w:pStyle w:val="TextBody"/>
        <w:bidi w:val="0"/>
        <w:spacing w:before="240" w:after="0"/>
        <w:jc w:val="left"/>
        <w:rPr>
          <w:rFonts w:ascii="Times New Roman" w:hAnsi="Times New Roman"/>
          <w:sz w:val="20"/>
        </w:rPr>
      </w:pPr>
      <w:r>
        <w:rPr>
          <w:rFonts w:ascii="Times New Roman" w:hAnsi="Times New Roman"/>
          <w:sz w:val="20"/>
        </w:rPr>
        <w:t xml:space="preserve">In addition, from time to time, special committees may be established under the direction of our Board when it deems it necessary or advisable to address specific issues. Copies of our committee charters have been posted on our website, </w:t>
      </w:r>
      <w:r>
        <w:rPr>
          <w:rFonts w:ascii="Times New Roman" w:hAnsi="Times New Roman"/>
          <w:i/>
          <w:sz w:val="20"/>
        </w:rPr>
        <w:t>investors.teamshares.com</w:t>
      </w:r>
      <w:r>
        <w:rPr>
          <w:rFonts w:ascii="Times New Roman" w:hAnsi="Times New Roman"/>
          <w:sz w:val="20"/>
        </w:rPr>
        <w:t xml:space="preserve"> under the heading “Corporate Governance”, as required by applicable SEC and Nasdaq rules. The information contained on, or that may be accessed through, our website is not part of, and is not incorporated into, this prospectus or the registration statement of which it forms a part.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our accounting and financial reporting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appointing, compensating, retaining and overseeing the work of our independent registered public accounting firm and any other registered public accounting firm engaged for the purpose of preparing or issuing an audit report or related work or performing other audit, review or attest services for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with our independent registered public accounting firm any audit problems or difficulties and management’s response;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pre-approving all audit and non-audit services provided to us by our independent registered public accounting firm (other than those provided pursuant to appropriate preapproval policies established by the audit committee or exempt from such requirement under the rules of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our annual and quarterly financial statements with management and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our risk management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ratifying any related person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audit committee report required by SEC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audit committee consists of Adam Fishman (Chair), Richard Hendrix and Evan Moore. All members of our audit committee meet the requirements for financial literacy under the applicable Nasdaq rules and regulations. Our Board has affirmatively determined each of Mr. Hendrix and Mr. Fishman qualifies as “independent” under Nasdaq’s additional standards applicable to audit committee members and Rule 10A-3 of the Exchange Act applicable to audit committee members. In addition, our Board has determined that Mr. Fishman qualifies as an “audit committee financial expert,” as such term is defined in Item 407(d)(5) of Regulation S-K.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corporate goals and objectives with respect to the compensation of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setting or making recommendations to our Board regarding the compensation of our other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our Board regarding director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making recommendations to our Board regarding our incentive compensation and equity-based plans and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appointing and overseeing any compensation consultants.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consists of Evan Moore (Chair), Richard Hendrix and Adam Fishman . Our Board has determined that all individuals qualify as “independent” under Nasdaq’s additional standards applicable to compensation committee members and each member of the compensation committee is a “non-employee director” as defined in Section 16b-3 of the Exchange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individuals qualified to become members of our Board and ensure our Board has the requisite expertise and consists of persons with sufficiently diverse and independent backgrounds;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recommending to our Board the persons to be nominated for election as directors and to each committee of our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recommending to our Board corporate governance guidelines, and reviewing and recommending to our Board proposed changes to our corporate governance guidelines from time to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annual evaluations of our Board, its committees and management.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nominating and corporate governance committee consists of Richard Hendrix (Chair), Adam Fishman and Evan Moore . </w:t>
      </w:r>
    </w:p>
    <w:p>
      <w:pPr>
        <w:pStyle w:val="TextBody"/>
        <w:bidi w:val="0"/>
        <w:spacing w:before="240" w:after="0"/>
        <w:jc w:val="left"/>
        <w:rPr>
          <w:rFonts w:ascii="Times New Roman" w:hAnsi="Times New Roman"/>
          <w:sz w:val="20"/>
        </w:rPr>
      </w:pPr>
      <w:r>
        <w:rPr>
          <w:rFonts w:ascii="Times New Roman" w:hAnsi="Times New Roman"/>
          <w:sz w:val="20"/>
        </w:rPr>
        <w:t xml:space="preserve">Our Board may from time to time establish other committees.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We have a Code of Business Conduct and Ethics that applies to all of our executive officers, directors and employees, including our principal executive officer, principal financial officer, principal accounting officer or controller or persons performing similar functions. The Code of Business Conduct and Ethics is available on our website, </w:t>
      </w:r>
      <w:r>
        <w:rPr>
          <w:rFonts w:ascii="Times New Roman" w:hAnsi="Times New Roman"/>
          <w:i/>
          <w:sz w:val="20"/>
        </w:rPr>
        <w:t>investors.teamshares.com</w:t>
      </w:r>
      <w:r>
        <w:rPr>
          <w:rFonts w:ascii="Times New Roman" w:hAnsi="Times New Roman"/>
          <w:sz w:val="20"/>
        </w:rPr>
        <w:t xml:space="preserve"> under the heading “Corporate Governance” section. </w:t>
      </w:r>
    </w:p>
    <w:p>
      <w:pPr>
        <w:pStyle w:val="TextBody"/>
        <w:bidi w:val="0"/>
        <w:spacing w:before="240" w:after="0"/>
        <w:jc w:val="left"/>
        <w:rPr>
          <w:rFonts w:ascii="Times New Roman" w:hAnsi="Times New Roman"/>
          <w:sz w:val="20"/>
        </w:rPr>
      </w:pPr>
      <w:r>
        <w:rPr>
          <w:rFonts w:ascii="Times New Roman" w:hAnsi="Times New Roman"/>
          <w:sz w:val="20"/>
        </w:rPr>
        <w:t xml:space="preserve">We intend to make any legally required disclosures regarding amendments to, or waivers of, provisions of our Code of Business Conduct and Ethics on our website rather than by filing a Current Report on Form 8-K.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Insider Trading Policy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insider trading policies and procedures governing the purchase, sale and other dispositions of the Company’s securities by directors, officers and employees that are reasonably designed to promote compliance with insider trading laws, rules and regulations. It is also the policy of the Company to comply with applicable securities laws when transacting in its own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 member of the compensation committee was at any time during the fiscal year 2025, or at any other time, one of our officers or employees. None of our executive officers has served as a director or member of a compensation committee (or other committee serving an equivalent function) of any entity, one of whose executive officers served as a director of our Board or member of our compensation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58823_14"/>
      <w:bookmarkEnd w:id="16"/>
      <w:r>
        <w:rPr>
          <w:rFonts w:ascii="Times New Roman" w:hAnsi="Times New Roman"/>
          <w:b/>
          <w:sz w:val="20"/>
        </w:rPr>
        <w:t xml:space="preserve">EXECUTIVE AND 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This section discusses the material components of the executive compensation program for our executive officers who are named in the “2025 Summary Compensation Table” below. In 2025, our “named executive officers” and their positions were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Michael Brown, Founder and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Brian Gaebe, Chief Financial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Madhuri Kommareddi, Chief Operating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may contain forward-looking statements that are based on our current plans, considerations, expectations and determinations regarding future compensation programs. Actual compensation programs that we adopt following the Business Combination may differ materially from the currently planned programs summarized in this discussion. The number of shares subject to options to purchase our Common Stock, and the per share exercise prices of each, reported in this section reflect the number of shares and exercise prices of such options on a pre-converted basis, and do not reflect adjustments that occurred in connection with the exchange of securities of Legacy Teamshares as part of the Business Combination at the Exchange Ratio. </w:t>
      </w:r>
    </w:p>
    <w:p>
      <w:pPr>
        <w:pStyle w:val="TextBody"/>
        <w:bidi w:val="0"/>
        <w:spacing w:before="360" w:after="0"/>
        <w:jc w:val="left"/>
        <w:rPr>
          <w:rFonts w:ascii="Times New Roman" w:hAnsi="Times New Roman"/>
          <w:b/>
          <w:sz w:val="20"/>
        </w:rPr>
      </w:pPr>
      <w:r>
        <w:rPr>
          <w:rFonts w:ascii="Times New Roman" w:hAnsi="Times New Roman"/>
          <w:b/>
          <w:sz w:val="20"/>
        </w:rPr>
        <w:t xml:space="preserve">2025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the compensation of our named executive officers for the year ended December 31, 2025.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143"/>
        <w:gridCol w:w="191"/>
        <w:gridCol w:w="60"/>
        <w:gridCol w:w="519"/>
        <w:gridCol w:w="60"/>
        <w:gridCol w:w="191"/>
        <w:gridCol w:w="60"/>
        <w:gridCol w:w="805"/>
        <w:gridCol w:w="60"/>
        <w:gridCol w:w="191"/>
        <w:gridCol w:w="60"/>
        <w:gridCol w:w="805"/>
        <w:gridCol w:w="60"/>
        <w:gridCol w:w="190"/>
        <w:gridCol w:w="60"/>
        <w:gridCol w:w="869"/>
        <w:gridCol w:w="64"/>
      </w:tblGrid>
      <w:tr>
        <w:trPr/>
        <w:tc>
          <w:tcPr>
            <w:tcW w:w="5143"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4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91" w:type="dxa"/>
            <w:tcBorders/>
            <w:vAlign w:val="bottom"/>
          </w:tcPr>
          <w:p>
            <w:pPr>
              <w:pStyle w:val="TableContents"/>
              <w:bidi w:val="0"/>
              <w:spacing w:before="0" w:after="283"/>
              <w:jc w:val="left"/>
              <w:rPr/>
            </w:pPr>
            <w:r>
              <w:rPr/>
              <w:t>  </w:t>
            </w:r>
          </w:p>
        </w:tc>
        <w:tc>
          <w:tcPr>
            <w:tcW w:w="5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br/>
              <w:t>($)</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($)(1)</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4" w:type="dxa"/>
            <w:tcBorders/>
            <w:vAlign w:val="bottom"/>
          </w:tcPr>
          <w:p>
            <w:pPr>
              <w:pStyle w:val="TableContents"/>
              <w:bidi w:val="0"/>
              <w:spacing w:before="0" w:after="283"/>
              <w:jc w:val="left"/>
              <w:rPr/>
            </w:pPr>
            <w:r>
              <w:rPr/>
              <w:t> </w:t>
            </w:r>
          </w:p>
        </w:tc>
      </w:tr>
      <w:tr>
        <w:trPr/>
        <w:tc>
          <w:tcPr>
            <w:tcW w:w="51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Brown</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143"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Founder and Chief Executive Officer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90,053</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260,673</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350,726</w:t>
            </w:r>
          </w:p>
        </w:tc>
        <w:tc>
          <w:tcPr>
            <w:tcW w:w="64" w:type="dxa"/>
            <w:tcBorders/>
            <w:vAlign w:val="bottom"/>
          </w:tcPr>
          <w:p>
            <w:pPr>
              <w:pStyle w:val="TableContents"/>
              <w:bidi w:val="0"/>
              <w:spacing w:before="0" w:after="283"/>
              <w:jc w:val="left"/>
              <w:rPr/>
            </w:pPr>
            <w:r>
              <w:rPr/>
              <w:t> </w:t>
            </w:r>
          </w:p>
        </w:tc>
      </w:tr>
      <w:tr>
        <w:trPr/>
        <w:tc>
          <w:tcPr>
            <w:tcW w:w="51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Brian Gaebe</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143"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Chief Financial Officer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405,151</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405,151</w:t>
            </w:r>
          </w:p>
        </w:tc>
        <w:tc>
          <w:tcPr>
            <w:tcW w:w="64" w:type="dxa"/>
            <w:tcBorders/>
            <w:vAlign w:val="bottom"/>
          </w:tcPr>
          <w:p>
            <w:pPr>
              <w:pStyle w:val="TableContents"/>
              <w:bidi w:val="0"/>
              <w:spacing w:before="0" w:after="283"/>
              <w:jc w:val="left"/>
              <w:rPr/>
            </w:pPr>
            <w:r>
              <w:rPr/>
              <w:t> </w:t>
            </w:r>
          </w:p>
        </w:tc>
      </w:tr>
      <w:tr>
        <w:trPr/>
        <w:tc>
          <w:tcPr>
            <w:tcW w:w="51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Madhuri Kommareddi</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143" w:type="dxa"/>
            <w:tcBorders/>
          </w:tcPr>
          <w:p>
            <w:pPr>
              <w:pStyle w:val="TableContents"/>
              <w:bidi w:val="0"/>
              <w:spacing w:before="0" w:after="0"/>
              <w:jc w:val="left"/>
              <w:rPr>
                <w:rFonts w:ascii="Times New Roman" w:hAnsi="Times New Roman"/>
                <w:i/>
                <w:sz w:val="20"/>
              </w:rPr>
            </w:pPr>
            <w:r>
              <w:rPr>
                <w:rFonts w:ascii="Times New Roman" w:hAnsi="Times New Roman"/>
                <w:i/>
                <w:sz w:val="20"/>
              </w:rPr>
              <w:t>Chief Operating Officer</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397,061</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397,061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full grant-date fair value of Company Options granted during 2025 computed in accordance with ASC Topic 718, rather than the amounts paid to or realized by the named executive officer. We provide information regarding the assumptions used to calculate the value of all Company Options made to executive officers in 2025 in Note 10 to Teamshares’ audited Consolidated Financial Statements for the year ended December 31,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2025 Base Salaries </w:t>
      </w:r>
    </w:p>
    <w:p>
      <w:pPr>
        <w:pStyle w:val="TextBody"/>
        <w:bidi w:val="0"/>
        <w:spacing w:before="120" w:after="0"/>
        <w:jc w:val="left"/>
        <w:rPr>
          <w:rFonts w:ascii="Times New Roman" w:hAnsi="Times New Roman"/>
          <w:sz w:val="20"/>
        </w:rPr>
      </w:pPr>
      <w:r>
        <w:rPr>
          <w:rFonts w:ascii="Times New Roman" w:hAnsi="Times New Roman"/>
          <w:sz w:val="20"/>
        </w:rPr>
        <w:t xml:space="preserve">The named executive officers receive a base salary to compensate them for services rendered to the Company. The base salary payable to each named executive officer is intended to provide a fixed component of compensation reflecting the executive’s skill set, experience, role and responsibilities. </w:t>
      </w:r>
    </w:p>
    <w:p>
      <w:pPr>
        <w:pStyle w:val="TextBody"/>
        <w:bidi w:val="0"/>
        <w:spacing w:before="240" w:after="0"/>
        <w:jc w:val="left"/>
        <w:rPr>
          <w:rFonts w:ascii="Times New Roman" w:hAnsi="Times New Roman"/>
          <w:sz w:val="20"/>
        </w:rPr>
      </w:pPr>
      <w:r>
        <w:rPr>
          <w:rFonts w:ascii="Times New Roman" w:hAnsi="Times New Roman"/>
          <w:sz w:val="20"/>
        </w:rPr>
        <w:t xml:space="preserve">The 2025 annual base salaries for our named executive officers as of December 31, 2025 were $200,000 for Mr. Brown and $400,000 for each of Mr. Gaebe and Ms. Kommareddi. The “Salary” column of the 2025 Summary Compensation Table above shows the actual base salaries earned by each named executive officer in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Equity Compensation </w:t>
      </w:r>
    </w:p>
    <w:p>
      <w:pPr>
        <w:pStyle w:val="TextBody"/>
        <w:bidi w:val="0"/>
        <w:spacing w:before="120" w:after="0"/>
        <w:jc w:val="left"/>
        <w:rPr>
          <w:rFonts w:ascii="Times New Roman" w:hAnsi="Times New Roman"/>
          <w:i/>
          <w:sz w:val="20"/>
        </w:rPr>
      </w:pPr>
      <w:r>
        <w:rPr>
          <w:rFonts w:ascii="Times New Roman" w:hAnsi="Times New Roman"/>
          <w:i/>
          <w:sz w:val="20"/>
        </w:rPr>
        <w:t xml:space="preserve">2020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We currently maintain the Teamshares Inc. 2020 Equity Incentive Plan (the “2020 Plan”) in order to provide additional incentive to our service providers and promote the success of our business. We historically have offered awards in the form of Company Options to eligible service providers, including our named executive officers, pursuant to the 2020 Plan. Company Options typically vest and become exercisable over four years, with grants generally vesting as to 25% of the underlying shares on the first anniversary of the vesting commencement date and in equal monthly installments over the following three years, subject to the grantee’s continued employment through the applicable vesting date. The Company Options generally will vest in full upon a named executive officer’s termination of employment other than for cause or due to his or her death or disability within the 12-month period following a change in control. For additional information about the 2020 Plan, please see the section titled “—2020 Plan” below. As mentioned below, in connection with the completion of the Business Combination and the adoption of the Incentive Plan, no further awards will be granted under the 2020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Company Options granted to our named executive officers during 2025.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34"/>
        <w:gridCol w:w="766"/>
        <w:gridCol w:w="184"/>
        <w:gridCol w:w="2093"/>
        <w:gridCol w:w="62"/>
      </w:tblGrid>
      <w:tr>
        <w:trPr/>
        <w:tc>
          <w:tcPr>
            <w:tcW w:w="3834" w:type="dxa"/>
            <w:tcBorders/>
            <w:vAlign w:val="center"/>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8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766" w:type="dxa"/>
            <w:tcBorders/>
            <w:vAlign w:val="bottom"/>
          </w:tcPr>
          <w:p>
            <w:pPr>
              <w:pStyle w:val="TableContents"/>
              <w:bidi w:val="0"/>
              <w:spacing w:before="0" w:after="283"/>
              <w:jc w:val="left"/>
              <w:rPr/>
            </w:pPr>
            <w:r>
              <w:rPr/>
              <w:t>  </w:t>
            </w:r>
          </w:p>
        </w:tc>
        <w:tc>
          <w:tcPr>
            <w:tcW w:w="22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 Options Granted</w:t>
            </w:r>
          </w:p>
        </w:tc>
        <w:tc>
          <w:tcPr>
            <w:tcW w:w="62" w:type="dxa"/>
            <w:tcBorders/>
            <w:vAlign w:val="bottom"/>
          </w:tcPr>
          <w:p>
            <w:pPr>
              <w:pStyle w:val="TableContents"/>
              <w:bidi w:val="0"/>
              <w:spacing w:before="0" w:after="283"/>
              <w:jc w:val="left"/>
              <w:rPr/>
            </w:pPr>
            <w:r>
              <w:rPr/>
              <w:t> </w:t>
            </w:r>
          </w:p>
        </w:tc>
      </w:tr>
      <w:tr>
        <w:trPr/>
        <w:tc>
          <w:tcPr>
            <w:tcW w:w="3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Brown</w:t>
            </w:r>
          </w:p>
        </w:tc>
        <w:tc>
          <w:tcPr>
            <w:tcW w:w="76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093" w:type="dxa"/>
            <w:tcBorders/>
            <w:shd w:fill="CCEEFF" w:val="clear"/>
            <w:vAlign w:val="bottom"/>
          </w:tcPr>
          <w:p>
            <w:pPr>
              <w:pStyle w:val="TableContents"/>
              <w:bidi w:val="0"/>
              <w:spacing w:before="0" w:after="283"/>
              <w:jc w:val="right"/>
              <w:rPr/>
            </w:pPr>
            <w:r>
              <w:rPr/>
              <w:t>20,355</w:t>
            </w:r>
          </w:p>
        </w:tc>
        <w:tc>
          <w:tcPr>
            <w:tcW w:w="62" w:type="dxa"/>
            <w:tcBorders/>
            <w:shd w:fill="CCEEFF" w:val="clear"/>
            <w:vAlign w:val="bottom"/>
          </w:tcPr>
          <w:p>
            <w:pPr>
              <w:pStyle w:val="TableContents"/>
              <w:bidi w:val="0"/>
              <w:spacing w:before="0" w:after="283"/>
              <w:jc w:val="left"/>
              <w:rPr/>
            </w:pPr>
            <w:r>
              <w:rPr/>
              <w:t> </w:t>
            </w:r>
          </w:p>
        </w:tc>
      </w:tr>
      <w:tr>
        <w:trPr/>
        <w:tc>
          <w:tcPr>
            <w:tcW w:w="3834" w:type="dxa"/>
            <w:tcBorders/>
          </w:tcPr>
          <w:p>
            <w:pPr>
              <w:pStyle w:val="TableContents"/>
              <w:bidi w:val="0"/>
              <w:spacing w:before="0" w:after="0"/>
              <w:jc w:val="left"/>
              <w:rPr>
                <w:rFonts w:ascii="Times New Roman" w:hAnsi="Times New Roman"/>
                <w:sz w:val="20"/>
              </w:rPr>
            </w:pPr>
            <w:r>
              <w:rPr>
                <w:rFonts w:ascii="Times New Roman" w:hAnsi="Times New Roman"/>
                <w:sz w:val="20"/>
              </w:rPr>
              <w:t>Brian Gaebe</w:t>
            </w:r>
          </w:p>
        </w:tc>
        <w:tc>
          <w:tcPr>
            <w:tcW w:w="76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093"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3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Madhuri Kommareddi</w:t>
            </w:r>
          </w:p>
        </w:tc>
        <w:tc>
          <w:tcPr>
            <w:tcW w:w="76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093"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Business Combination, (i) each Company In-the-Money Vested Option that was outstanding as of immediately prior to the Effective Time was assumed by Live Oak and converted into a comparable option under the 2020 Plan to purchase shares of the Company’s Common Stock, based upon the exchange ratio and (ii) each Company In-the-Money Unvested Option that was outstanding as of immediately prior to the Effective Time was assumed by Live Oak and converted into a comparable option under the 2020 Plan to purchase shares of the Company’s Common Stock, based upon the exchange ratio. Each Assumed Option will otherwise be subject to the same terms and conditions as applied to the underlying Company Option immediately prior to the Effective Time. </w:t>
      </w:r>
    </w:p>
    <w:p>
      <w:pPr>
        <w:pStyle w:val="TextBody"/>
        <w:bidi w:val="0"/>
        <w:spacing w:before="360" w:after="0"/>
        <w:jc w:val="left"/>
        <w:rPr>
          <w:rFonts w:ascii="Times New Roman" w:hAnsi="Times New Roman"/>
          <w:i/>
          <w:sz w:val="20"/>
        </w:rPr>
      </w:pPr>
      <w:r>
        <w:rPr>
          <w:rFonts w:ascii="Times New Roman" w:hAnsi="Times New Roman"/>
          <w:i/>
          <w:sz w:val="20"/>
        </w:rPr>
        <w:t xml:space="preserve">2026 Incentive Award Plan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Business Combination, Live Oak’s board of directors adopted, and its shareholders approved, the 2026 Incentive Award Plan, referred to in this prospectus as the Incentive Plan, in order to facilitate the grant of cash and equity incentives to directors, employees (including our named executive officers) and consultants of the Company and certain of our affiliates and to enable us to obtain and retain services of these individuals, which is essential to our long-term success. The Incentive Plan became effective on the date of the closing of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Elements of Compensation </w:t>
      </w:r>
    </w:p>
    <w:p>
      <w:pPr>
        <w:pStyle w:val="TextBody"/>
        <w:bidi w:val="0"/>
        <w:spacing w:before="120" w:after="0"/>
        <w:jc w:val="left"/>
        <w:rPr>
          <w:rFonts w:ascii="Times New Roman" w:hAnsi="Times New Roman"/>
          <w:i/>
          <w:sz w:val="20"/>
        </w:rPr>
      </w:pPr>
      <w:r>
        <w:rPr>
          <w:rFonts w:ascii="Times New Roman" w:hAnsi="Times New Roman"/>
          <w:i/>
          <w:sz w:val="20"/>
        </w:rPr>
        <w:t xml:space="preserve">Health and Welfare Benefits </w:t>
      </w:r>
    </w:p>
    <w:p>
      <w:pPr>
        <w:pStyle w:val="TextBody"/>
        <w:bidi w:val="0"/>
        <w:spacing w:before="120" w:after="0"/>
        <w:jc w:val="left"/>
        <w:rPr>
          <w:rFonts w:ascii="Times New Roman" w:hAnsi="Times New Roman"/>
          <w:sz w:val="20"/>
        </w:rPr>
      </w:pPr>
      <w:r>
        <w:rPr>
          <w:rFonts w:ascii="Times New Roman" w:hAnsi="Times New Roman"/>
          <w:sz w:val="20"/>
        </w:rPr>
        <w:t xml:space="preserve">In 2025, the named executive officers also participated in standard health and welfare plans maintained by the Company including medical, dental and vision benefits; short-term and long-term disability insurance; life insurance; and an employee assistance plan. </w:t>
      </w:r>
    </w:p>
    <w:p>
      <w:pPr>
        <w:pStyle w:val="TextBody"/>
        <w:bidi w:val="0"/>
        <w:spacing w:before="360" w:after="0"/>
        <w:jc w:val="left"/>
        <w:rPr>
          <w:rFonts w:ascii="Times New Roman" w:hAnsi="Times New Roman"/>
          <w:i/>
          <w:sz w:val="20"/>
        </w:rPr>
      </w:pPr>
      <w:r>
        <w:rPr>
          <w:rFonts w:ascii="Times New Roman" w:hAnsi="Times New Roman"/>
          <w:i/>
          <w:sz w:val="20"/>
        </w:rPr>
        <w:t xml:space="preserve">No Tax Gross-Ups </w:t>
      </w:r>
    </w:p>
    <w:p>
      <w:pPr>
        <w:pStyle w:val="TextBody"/>
        <w:bidi w:val="0"/>
        <w:spacing w:before="120" w:after="0"/>
        <w:jc w:val="left"/>
        <w:rPr>
          <w:rFonts w:ascii="Times New Roman" w:hAnsi="Times New Roman"/>
          <w:sz w:val="20"/>
        </w:rPr>
      </w:pPr>
      <w:r>
        <w:rPr>
          <w:rFonts w:ascii="Times New Roman" w:hAnsi="Times New Roman"/>
          <w:sz w:val="20"/>
        </w:rPr>
        <w:t xml:space="preserve">We do not make gross-up payments to cover our named executive officers’ personal income taxes that may pertain to any of the compensation paid or provided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Outstanding Equity Awards at Fiscal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number of shares of our Common Stock underlying outstanding Company Options held by each named executive officer 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06"/>
        <w:gridCol w:w="138"/>
        <w:gridCol w:w="60"/>
        <w:gridCol w:w="985"/>
        <w:gridCol w:w="60"/>
        <w:gridCol w:w="138"/>
        <w:gridCol w:w="96"/>
        <w:gridCol w:w="1574"/>
        <w:gridCol w:w="60"/>
        <w:gridCol w:w="138"/>
        <w:gridCol w:w="102"/>
        <w:gridCol w:w="1167"/>
        <w:gridCol w:w="60"/>
        <w:gridCol w:w="138"/>
        <w:gridCol w:w="123"/>
        <w:gridCol w:w="1411"/>
        <w:gridCol w:w="59"/>
        <w:gridCol w:w="138"/>
        <w:gridCol w:w="175"/>
        <w:gridCol w:w="700"/>
        <w:gridCol w:w="60"/>
        <w:gridCol w:w="138"/>
        <w:gridCol w:w="64"/>
        <w:gridCol w:w="1051"/>
        <w:gridCol w:w="64"/>
      </w:tblGrid>
      <w:tr>
        <w:trPr/>
        <w:tc>
          <w:tcPr>
            <w:tcW w:w="1506"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0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497"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Option Awards</w:t>
            </w:r>
          </w:p>
        </w:tc>
        <w:tc>
          <w:tcPr>
            <w:tcW w:w="64" w:type="dxa"/>
            <w:tcBorders/>
            <w:vAlign w:val="bottom"/>
          </w:tcPr>
          <w:p>
            <w:pPr>
              <w:pStyle w:val="TableContents"/>
              <w:bidi w:val="0"/>
              <w:spacing w:before="0" w:after="283"/>
              <w:jc w:val="left"/>
              <w:rPr/>
            </w:pPr>
            <w:r>
              <w:rPr/>
              <w:t> </w:t>
            </w:r>
          </w:p>
        </w:tc>
      </w:tr>
      <w:tr>
        <w:trPr/>
        <w:tc>
          <w:tcPr>
            <w:tcW w:w="150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38"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Grant Date</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Vesting</w:t>
              <w:br/>
              <w:t>Commencement</w:t>
              <w:br/>
              <w:t>Date</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Exercisable</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Unexercisable(1)</w:t>
            </w:r>
          </w:p>
        </w:tc>
        <w:tc>
          <w:tcPr>
            <w:tcW w:w="5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4" w:type="dxa"/>
            <w:tcBorders/>
            <w:vAlign w:val="bottom"/>
          </w:tcPr>
          <w:p>
            <w:pPr>
              <w:pStyle w:val="TableContents"/>
              <w:bidi w:val="0"/>
              <w:spacing w:before="0" w:after="283"/>
              <w:jc w:val="left"/>
              <w:rPr/>
            </w:pPr>
            <w:r>
              <w:rPr/>
              <w:t> </w:t>
            </w:r>
          </w:p>
        </w:tc>
      </w:tr>
      <w:tr>
        <w:trPr/>
        <w:tc>
          <w:tcPr>
            <w:tcW w:w="1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Brown</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11/7/2025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9/1/2025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20,355</w:t>
            </w:r>
          </w:p>
        </w:tc>
        <w:tc>
          <w:tcPr>
            <w:tcW w:w="5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29.06</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11/6/2035</w:t>
            </w:r>
          </w:p>
        </w:tc>
        <w:tc>
          <w:tcPr>
            <w:tcW w:w="64" w:type="dxa"/>
            <w:tcBorders/>
            <w:shd w:fill="CCEEFF" w:val="clear"/>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Brian Gaebe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6/1/2021</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2/28/2021</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25,000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3.45</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6/1/2031</w:t>
            </w:r>
          </w:p>
        </w:tc>
        <w:tc>
          <w:tcPr>
            <w:tcW w:w="64" w:type="dxa"/>
            <w:tcBorders/>
            <w:vAlign w:val="bottom"/>
          </w:tcPr>
          <w:p>
            <w:pPr>
              <w:pStyle w:val="TableContents"/>
              <w:bidi w:val="0"/>
              <w:spacing w:before="0" w:after="283"/>
              <w:jc w:val="left"/>
              <w:rPr/>
            </w:pPr>
            <w:r>
              <w:rPr/>
              <w:t> </w:t>
            </w:r>
          </w:p>
        </w:tc>
      </w:tr>
      <w:tr>
        <w:trPr/>
        <w:tc>
          <w:tcPr>
            <w:tcW w:w="1506" w:type="dxa"/>
            <w:tcBorders/>
            <w:shd w:fill="CCEEFF" w:val="clear"/>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8/30/2022</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8/29/2022</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4,375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625</w:t>
            </w:r>
          </w:p>
        </w:tc>
        <w:tc>
          <w:tcPr>
            <w:tcW w:w="5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17.69</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8/29/2032</w:t>
            </w:r>
          </w:p>
        </w:tc>
        <w:tc>
          <w:tcPr>
            <w:tcW w:w="64" w:type="dxa"/>
            <w:tcBorders/>
            <w:shd w:fill="CCEEFF" w:val="clear"/>
            <w:vAlign w:val="bottom"/>
          </w:tcPr>
          <w:p>
            <w:pPr>
              <w:pStyle w:val="TableContents"/>
              <w:bidi w:val="0"/>
              <w:spacing w:before="0" w:after="283"/>
              <w:jc w:val="left"/>
              <w:rPr/>
            </w:pPr>
            <w:r>
              <w:rPr/>
              <w:t> </w:t>
            </w:r>
          </w:p>
        </w:tc>
      </w:tr>
      <w:tr>
        <w:trPr/>
        <w:tc>
          <w:tcPr>
            <w:tcW w:w="1506"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12/8/2023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11/1/2023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11,666</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8,334</w:t>
            </w:r>
          </w:p>
        </w:tc>
        <w:tc>
          <w:tcPr>
            <w:tcW w:w="5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34.70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12/7/2033</w:t>
            </w:r>
          </w:p>
        </w:tc>
        <w:tc>
          <w:tcPr>
            <w:tcW w:w="64" w:type="dxa"/>
            <w:tcBorders/>
            <w:vAlign w:val="bottom"/>
          </w:tcPr>
          <w:p>
            <w:pPr>
              <w:pStyle w:val="TableContents"/>
              <w:bidi w:val="0"/>
              <w:spacing w:before="0" w:after="283"/>
              <w:jc w:val="left"/>
              <w:rPr/>
            </w:pPr>
            <w:r>
              <w:rPr/>
              <w:t> </w:t>
            </w:r>
          </w:p>
        </w:tc>
      </w:tr>
      <w:tr>
        <w:trPr/>
        <w:tc>
          <w:tcPr>
            <w:tcW w:w="1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Madhuri Kommareddi</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6/1/2021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3/22/2021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16,458</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3.45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6/1/2031</w:t>
            </w:r>
          </w:p>
        </w:tc>
        <w:tc>
          <w:tcPr>
            <w:tcW w:w="64" w:type="dxa"/>
            <w:tcBorders/>
            <w:shd w:fill="CCEEFF" w:val="clear"/>
            <w:vAlign w:val="bottom"/>
          </w:tcPr>
          <w:p>
            <w:pPr>
              <w:pStyle w:val="TableContents"/>
              <w:bidi w:val="0"/>
              <w:spacing w:before="0" w:after="283"/>
              <w:jc w:val="left"/>
              <w:rPr/>
            </w:pPr>
            <w:r>
              <w:rPr/>
              <w:t> </w:t>
            </w:r>
          </w:p>
        </w:tc>
      </w:tr>
      <w:tr>
        <w:trPr/>
        <w:tc>
          <w:tcPr>
            <w:tcW w:w="1506"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6/1/2021</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5/3/2021</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3,542</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3.45</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6/1/2031</w:t>
            </w:r>
          </w:p>
        </w:tc>
        <w:tc>
          <w:tcPr>
            <w:tcW w:w="64" w:type="dxa"/>
            <w:tcBorders/>
            <w:vAlign w:val="bottom"/>
          </w:tcPr>
          <w:p>
            <w:pPr>
              <w:pStyle w:val="TableContents"/>
              <w:bidi w:val="0"/>
              <w:spacing w:before="0" w:after="283"/>
              <w:jc w:val="left"/>
              <w:rPr/>
            </w:pPr>
            <w:r>
              <w:rPr/>
              <w:t> </w:t>
            </w:r>
          </w:p>
        </w:tc>
      </w:tr>
      <w:tr>
        <w:trPr/>
        <w:tc>
          <w:tcPr>
            <w:tcW w:w="1506" w:type="dxa"/>
            <w:tcBorders/>
            <w:shd w:fill="CCEEFF" w:val="clear"/>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1/14/2022</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1/1/2022</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0</w:t>
            </w:r>
          </w:p>
        </w:tc>
        <w:tc>
          <w:tcPr>
            <w:tcW w:w="5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17.69</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1/13/2032</w:t>
            </w:r>
          </w:p>
        </w:tc>
        <w:tc>
          <w:tcPr>
            <w:tcW w:w="64" w:type="dxa"/>
            <w:tcBorders/>
            <w:shd w:fill="CCEEFF" w:val="clear"/>
            <w:vAlign w:val="bottom"/>
          </w:tcPr>
          <w:p>
            <w:pPr>
              <w:pStyle w:val="TableContents"/>
              <w:bidi w:val="0"/>
              <w:spacing w:before="0" w:after="283"/>
              <w:jc w:val="left"/>
              <w:rPr/>
            </w:pPr>
            <w:r>
              <w:rPr/>
              <w:t> </w:t>
            </w:r>
          </w:p>
        </w:tc>
      </w:tr>
      <w:tr>
        <w:trPr/>
        <w:tc>
          <w:tcPr>
            <w:tcW w:w="1506"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8/21/2023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8/1/2023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12,916</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7,084</w:t>
            </w:r>
          </w:p>
        </w:tc>
        <w:tc>
          <w:tcPr>
            <w:tcW w:w="5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31.62</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8/20/2033</w:t>
            </w:r>
          </w:p>
        </w:tc>
        <w:tc>
          <w:tcPr>
            <w:tcW w:w="64"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Company Option vests and becomes exercisable as to 25% of the underlying shares on the first anniversary of the vesting commencement date and in equal monthly installments over the following three years, subject to the named executive officer’s continued employment through the applicable vesting date.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Compensation Arrangements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description of the material terms of the employment agreements we are party to with each named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Each agreement provides for “at will” employment and provides that the executive will report to our Chief Executive Officer, other than Michael Brown who will report to our Board. Each agreement also provides for (i) an annual base salary of $400,000, which will be paid in accordance with our normal payroll practices and which may be increased, but not reduced; (ii) eligibility to receive an equity-based compensation award on terms and conditions to be determined by the Board (or a subcommittee thereof) based on its review of market compensation; and (iii) eligibility to participate in customary health, welfare, retirement and other benefit plans we provide to our senior executives. The agreement with Mr. Brown also provides that, consistent with our compensation philosophy, we intend to pay each co-founder the same salary, bonuses and equity-based awards; however, the Board and its compensation committee retain the right to pay different compensation to the co-founders. </w:t>
      </w:r>
    </w:p>
    <w:p>
      <w:pPr>
        <w:pStyle w:val="TextBody"/>
        <w:bidi w:val="0"/>
        <w:spacing w:before="240" w:after="0"/>
        <w:jc w:val="left"/>
        <w:rPr>
          <w:rFonts w:ascii="Times New Roman" w:hAnsi="Times New Roman"/>
          <w:sz w:val="20"/>
        </w:rPr>
      </w:pPr>
      <w:r>
        <w:rPr>
          <w:rFonts w:ascii="Times New Roman" w:hAnsi="Times New Roman"/>
          <w:sz w:val="20"/>
        </w:rPr>
        <w:t xml:space="preserve">Each agreement also provides that the named executive officers are entitled to participate in an executive severance plan to be adopted following the Closing of the Business Combination, which will include the following terms. The following severance payments and benefits are subject to the executive’s execution and non-revocation of a general release of claims in favor of the Company and continued compliance with restrictive covenants. </w:t>
      </w:r>
    </w:p>
    <w:p>
      <w:pPr>
        <w:pStyle w:val="TextBody"/>
        <w:bidi w:val="0"/>
        <w:spacing w:before="240" w:after="0"/>
        <w:jc w:val="left"/>
        <w:rPr>
          <w:rFonts w:ascii="Times New Roman" w:hAnsi="Times New Roman"/>
          <w:sz w:val="20"/>
        </w:rPr>
      </w:pPr>
      <w:r>
        <w:rPr>
          <w:rFonts w:ascii="Times New Roman" w:hAnsi="Times New Roman"/>
          <w:sz w:val="20"/>
        </w:rPr>
        <w:t xml:space="preserve">If the executive’s employment is terminated by us without “cause” or by the executive for “good reason”, then the executive will be entitled to receive the following severance payments and benefits: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payment of six months of the executive’s annual base salary;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healthcare coverage for up to 12 months after the termination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vesting for the service-vesting component of each equity award held by the executive for an additional 12 months (or, if later, until the two-year anniversary of the closing of the Business Combination);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performance-based equity awards will remain outstanding for six months (or, if later, until the two-year anniversary of the closing of the Business Combination) following the termination date and will be eligible to vest upon the achievement of applicable performance goals during such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termination without cause or for good reason occurs during the six-month period preceding or two-year period following a change in control, then the service-vesting component of each equity award held by the executive will vest in full and the executive’s performance-based equity awards will remain outstanding for the remaining change in control protection period and will vest upon the achievement of applicable performance goals during such period. Similar treatment will apply upon a termination of the executive due to his or her death or disability. </w:t>
      </w:r>
    </w:p>
    <w:p>
      <w:pPr>
        <w:pStyle w:val="TextBody"/>
        <w:bidi w:val="0"/>
        <w:spacing w:before="240" w:after="0"/>
        <w:jc w:val="left"/>
        <w:rPr>
          <w:rFonts w:ascii="Times New Roman" w:hAnsi="Times New Roman"/>
          <w:sz w:val="20"/>
        </w:rPr>
      </w:pPr>
      <w:r>
        <w:rPr>
          <w:rFonts w:ascii="Times New Roman" w:hAnsi="Times New Roman"/>
          <w:sz w:val="20"/>
        </w:rPr>
        <w:t xml:space="preserve">The employment agreements also contain restrictive covenants, including non-solicitation and non-competition covenants during the applicable executive’s period of employment and for the 12 months following the executive’s termination for any reason, and a perpetual non-disparagement covenant.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2025, we did not pay any cash retainers or fees or grant any equity incentive plan awards to our non-employee directors for their service on our board. In addition, our executives who served as directors in 2025 did not receive any additional compensation for services as directors. As of December 31, 2025, none of our non-employee directors held any outstanding Legacy Teamshares equity incentive plan awards. </w:t>
      </w:r>
    </w:p>
    <w:p>
      <w:pPr>
        <w:pStyle w:val="TextBody"/>
        <w:bidi w:val="0"/>
        <w:spacing w:before="120" w:after="0"/>
        <w:jc w:val="left"/>
        <w:rPr>
          <w:rFonts w:ascii="Times New Roman" w:hAnsi="Times New Roman"/>
          <w:sz w:val="20"/>
        </w:rPr>
      </w:pPr>
      <w:r>
        <w:rPr>
          <w:rFonts w:ascii="Times New Roman" w:hAnsi="Times New Roman"/>
          <w:sz w:val="20"/>
        </w:rPr>
        <w:t xml:space="preserve">We approved and implemented a compensation program for our non-employee directors that consists of annual retainer fees and long-term equity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58823_15"/>
      <w:bookmarkEnd w:id="17"/>
      <w:r>
        <w:rPr>
          <w:rFonts w:ascii="Times New Roman" w:hAnsi="Times New Roman"/>
          <w:b/>
          <w:sz w:val="20"/>
        </w:rPr>
        <w:t xml:space="preserve">BENEFICIAL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beneficial ownership of Common Stock following the consummation of the Transactions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who is known to be the beneficial owner of more than 5% of the outstanding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Company’s current named executive officers and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current executive officers and directors of the Company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Unless otherwise indicated, the Company believes that all persons named in the table below have sole voting and investment power with respect to the voting securities beneficially owned by them.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ownership percentages set forth in the table below are based on 73,660,538 shares of Common Stock issued and outstanding as of the Closing Date, which include 1,674,765 unvested Deferred Founder Shares and Incentive Founder Shares subject to forfeiture if certain conditions are not achieved, and do not take into account the issuance of any shares of Common Stock upon the exercise of Assumed Options and Warrants, or any shares potentially issuable related to Earnout Shares.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00"/>
        <w:gridCol w:w="309"/>
        <w:gridCol w:w="146"/>
        <w:gridCol w:w="2761"/>
        <w:gridCol w:w="60"/>
        <w:gridCol w:w="309"/>
        <w:gridCol w:w="60"/>
        <w:gridCol w:w="441"/>
        <w:gridCol w:w="286"/>
      </w:tblGrid>
      <w:tr>
        <w:trPr/>
        <w:tc>
          <w:tcPr>
            <w:tcW w:w="420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2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Owner(1)</w:t>
            </w:r>
          </w:p>
        </w:tc>
        <w:tc>
          <w:tcPr>
            <w:tcW w:w="309" w:type="dxa"/>
            <w:tcBorders/>
            <w:vAlign w:val="bottom"/>
          </w:tcPr>
          <w:p>
            <w:pPr>
              <w:pStyle w:val="TableContents"/>
              <w:bidi w:val="0"/>
              <w:spacing w:before="0" w:after="283"/>
              <w:jc w:val="left"/>
              <w:rPr/>
            </w:pPr>
            <w:r>
              <w:rPr/>
              <w:t>  </w:t>
            </w:r>
          </w:p>
        </w:tc>
        <w:tc>
          <w:tcPr>
            <w:tcW w:w="29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 of</w:t>
              <w:br/>
              <w:t>Common Stock Beneficially</w:t>
              <w:br/>
              <w:t>Owned</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6"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Holders</w:t>
            </w:r>
          </w:p>
        </w:tc>
        <w:tc>
          <w:tcPr>
            <w:tcW w:w="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27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sz w:val="4"/>
                <w:szCs w:val="4"/>
              </w:rPr>
            </w:pPr>
            <w:r>
              <w:rPr>
                <w:sz w:val="4"/>
                <w:szCs w:val="4"/>
              </w:rPr>
            </w:r>
          </w:p>
        </w:tc>
      </w:tr>
      <w:tr>
        <w:trPr/>
        <w:tc>
          <w:tcPr>
            <w:tcW w:w="4200" w:type="dxa"/>
            <w:tcBorders/>
          </w:tcPr>
          <w:p>
            <w:pPr>
              <w:pStyle w:val="TableContents"/>
              <w:bidi w:val="0"/>
              <w:spacing w:before="0" w:after="0"/>
              <w:jc w:val="left"/>
              <w:rPr>
                <w:rFonts w:ascii="Times New Roman" w:hAnsi="Times New Roman"/>
                <w:sz w:val="20"/>
              </w:rPr>
            </w:pPr>
            <w:r>
              <w:rPr>
                <w:rFonts w:ascii="Times New Roman" w:hAnsi="Times New Roman"/>
                <w:sz w:val="20"/>
              </w:rPr>
              <w:t>Accounts advised or subadvised by T. Rowe Price Investment Management, Inc.(2)</w:t>
            </w:r>
          </w:p>
        </w:tc>
        <w:tc>
          <w:tcPr>
            <w:tcW w:w="3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61" w:type="dxa"/>
            <w:tcBorders/>
            <w:vAlign w:val="bottom"/>
          </w:tcPr>
          <w:p>
            <w:pPr>
              <w:pStyle w:val="TableContents"/>
              <w:bidi w:val="0"/>
              <w:spacing w:before="0" w:after="283"/>
              <w:jc w:val="right"/>
              <w:rPr/>
            </w:pPr>
            <w:r>
              <w:rPr/>
              <w:t>13,043,478</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17.7</w:t>
            </w:r>
          </w:p>
        </w:tc>
        <w:tc>
          <w:tcPr>
            <w:tcW w:w="286"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Khosla Ventures(3)</w:t>
            </w:r>
          </w:p>
        </w:tc>
        <w:tc>
          <w:tcPr>
            <w:tcW w:w="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61" w:type="dxa"/>
            <w:tcBorders/>
            <w:shd w:fill="CCEEFF" w:val="clear"/>
            <w:vAlign w:val="bottom"/>
          </w:tcPr>
          <w:p>
            <w:pPr>
              <w:pStyle w:val="TableContents"/>
              <w:bidi w:val="0"/>
              <w:spacing w:before="0" w:after="283"/>
              <w:jc w:val="right"/>
              <w:rPr/>
            </w:pPr>
            <w:r>
              <w:rPr/>
              <w:t>7,498,171</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10.2</w:t>
            </w:r>
          </w:p>
        </w:tc>
        <w:tc>
          <w:tcPr>
            <w:tcW w:w="286" w:type="dxa"/>
            <w:tcBorders/>
            <w:shd w:fill="CCEEFF" w:val="clear"/>
            <w:vAlign w:val="bottom"/>
          </w:tcPr>
          <w:p>
            <w:pPr>
              <w:pStyle w:val="TableContents"/>
              <w:bidi w:val="0"/>
              <w:spacing w:before="0" w:after="283"/>
              <w:jc w:val="left"/>
              <w:rPr/>
            </w:pPr>
            <w:r>
              <w:rPr/>
              <w:t>% </w:t>
            </w:r>
          </w:p>
        </w:tc>
      </w:tr>
      <w:tr>
        <w:trPr/>
        <w:tc>
          <w:tcPr>
            <w:tcW w:w="4200" w:type="dxa"/>
            <w:tcBorders/>
          </w:tcPr>
          <w:p>
            <w:pPr>
              <w:pStyle w:val="TableContents"/>
              <w:bidi w:val="0"/>
              <w:spacing w:before="0" w:after="0"/>
              <w:jc w:val="left"/>
              <w:rPr>
                <w:rFonts w:ascii="Times New Roman" w:hAnsi="Times New Roman"/>
                <w:sz w:val="20"/>
              </w:rPr>
            </w:pPr>
            <w:r>
              <w:rPr>
                <w:rFonts w:ascii="Times New Roman" w:hAnsi="Times New Roman"/>
                <w:sz w:val="20"/>
              </w:rPr>
              <w:t>QED Growth(4)</w:t>
            </w:r>
          </w:p>
        </w:tc>
        <w:tc>
          <w:tcPr>
            <w:tcW w:w="3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61" w:type="dxa"/>
            <w:tcBorders/>
            <w:vAlign w:val="bottom"/>
          </w:tcPr>
          <w:p>
            <w:pPr>
              <w:pStyle w:val="TableContents"/>
              <w:bidi w:val="0"/>
              <w:spacing w:before="0" w:after="283"/>
              <w:jc w:val="right"/>
              <w:rPr/>
            </w:pPr>
            <w:r>
              <w:rPr/>
              <w:t>5,992,667</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8.1</w:t>
            </w:r>
          </w:p>
        </w:tc>
        <w:tc>
          <w:tcPr>
            <w:tcW w:w="286"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Spark Capital(5)</w:t>
            </w:r>
          </w:p>
        </w:tc>
        <w:tc>
          <w:tcPr>
            <w:tcW w:w="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61" w:type="dxa"/>
            <w:tcBorders/>
            <w:shd w:fill="CCEEFF" w:val="clear"/>
            <w:vAlign w:val="bottom"/>
          </w:tcPr>
          <w:p>
            <w:pPr>
              <w:pStyle w:val="TableContents"/>
              <w:bidi w:val="0"/>
              <w:spacing w:before="0" w:after="283"/>
              <w:jc w:val="right"/>
              <w:rPr/>
            </w:pPr>
            <w:r>
              <w:rPr/>
              <w:t>3,645,439</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5.0</w:t>
            </w:r>
          </w:p>
        </w:tc>
        <w:tc>
          <w:tcPr>
            <w:tcW w:w="286" w:type="dxa"/>
            <w:tcBorders/>
            <w:shd w:fill="CCEEFF" w:val="clear"/>
            <w:vAlign w:val="bottom"/>
          </w:tcPr>
          <w:p>
            <w:pPr>
              <w:pStyle w:val="TableContents"/>
              <w:bidi w:val="0"/>
              <w:spacing w:before="0" w:after="283"/>
              <w:jc w:val="left"/>
              <w:rPr/>
            </w:pPr>
            <w:r>
              <w:rPr/>
              <w:t>% </w:t>
            </w:r>
          </w:p>
        </w:tc>
      </w:tr>
      <w:tr>
        <w:trPr/>
        <w:tc>
          <w:tcPr>
            <w:tcW w:w="4200" w:type="dxa"/>
            <w:tcBorders/>
          </w:tcPr>
          <w:p>
            <w:pPr>
              <w:pStyle w:val="TableContents"/>
              <w:bidi w:val="0"/>
              <w:spacing w:before="0" w:after="0"/>
              <w:jc w:val="left"/>
              <w:rPr>
                <w:rFonts w:ascii="Times New Roman" w:hAnsi="Times New Roman"/>
                <w:sz w:val="20"/>
              </w:rPr>
            </w:pPr>
            <w:r>
              <w:rPr>
                <w:rFonts w:ascii="Times New Roman" w:hAnsi="Times New Roman"/>
                <w:sz w:val="20"/>
              </w:rPr>
              <w:t>Inspired Capital Partners(6)</w:t>
            </w:r>
          </w:p>
        </w:tc>
        <w:tc>
          <w:tcPr>
            <w:tcW w:w="3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61" w:type="dxa"/>
            <w:tcBorders/>
            <w:vAlign w:val="bottom"/>
          </w:tcPr>
          <w:p>
            <w:pPr>
              <w:pStyle w:val="TableContents"/>
              <w:bidi w:val="0"/>
              <w:spacing w:before="0" w:after="283"/>
              <w:jc w:val="right"/>
              <w:rPr/>
            </w:pPr>
            <w:r>
              <w:rPr/>
              <w:t>4,585,000</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6.2</w:t>
            </w:r>
          </w:p>
        </w:tc>
        <w:tc>
          <w:tcPr>
            <w:tcW w:w="286"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Slow Ventures(7)</w:t>
            </w:r>
          </w:p>
        </w:tc>
        <w:tc>
          <w:tcPr>
            <w:tcW w:w="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61" w:type="dxa"/>
            <w:tcBorders/>
            <w:shd w:fill="CCEEFF" w:val="clear"/>
            <w:vAlign w:val="bottom"/>
          </w:tcPr>
          <w:p>
            <w:pPr>
              <w:pStyle w:val="TableContents"/>
              <w:bidi w:val="0"/>
              <w:spacing w:before="0" w:after="283"/>
              <w:jc w:val="right"/>
              <w:rPr/>
            </w:pPr>
            <w:r>
              <w:rPr/>
              <w:t>4,988,012</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6.8</w:t>
            </w:r>
          </w:p>
        </w:tc>
        <w:tc>
          <w:tcPr>
            <w:tcW w:w="286" w:type="dxa"/>
            <w:tcBorders/>
            <w:shd w:fill="CCEEFF" w:val="clear"/>
            <w:vAlign w:val="bottom"/>
          </w:tcPr>
          <w:p>
            <w:pPr>
              <w:pStyle w:val="TableContents"/>
              <w:bidi w:val="0"/>
              <w:spacing w:before="0" w:after="283"/>
              <w:jc w:val="left"/>
              <w:rPr/>
            </w:pPr>
            <w:r>
              <w:rPr/>
              <w:t>% </w:t>
            </w:r>
          </w:p>
        </w:tc>
      </w:tr>
      <w:tr>
        <w:trPr/>
        <w:tc>
          <w:tcPr>
            <w:tcW w:w="4200" w:type="dxa"/>
            <w:tcBorders/>
          </w:tcPr>
          <w:p>
            <w:pPr>
              <w:pStyle w:val="TableContents"/>
              <w:bidi w:val="0"/>
              <w:spacing w:before="0" w:after="0"/>
              <w:jc w:val="left"/>
              <w:rPr>
                <w:rFonts w:ascii="Times New Roman" w:hAnsi="Times New Roman"/>
                <w:sz w:val="20"/>
              </w:rPr>
            </w:pPr>
            <w:r>
              <w:rPr>
                <w:rFonts w:ascii="Times New Roman" w:hAnsi="Times New Roman"/>
                <w:sz w:val="20"/>
              </w:rPr>
              <w:t>USV(8)</w:t>
            </w:r>
          </w:p>
        </w:tc>
        <w:tc>
          <w:tcPr>
            <w:tcW w:w="3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61" w:type="dxa"/>
            <w:tcBorders/>
            <w:vAlign w:val="bottom"/>
          </w:tcPr>
          <w:p>
            <w:pPr>
              <w:pStyle w:val="TableContents"/>
              <w:bidi w:val="0"/>
              <w:spacing w:before="0" w:after="283"/>
              <w:jc w:val="right"/>
              <w:rPr/>
            </w:pPr>
            <w:r>
              <w:rPr/>
              <w:t>4,028,647</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5.5</w:t>
            </w:r>
          </w:p>
        </w:tc>
        <w:tc>
          <w:tcPr>
            <w:tcW w:w="286"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HB Strategies LLC(9)</w:t>
            </w:r>
          </w:p>
        </w:tc>
        <w:tc>
          <w:tcPr>
            <w:tcW w:w="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61" w:type="dxa"/>
            <w:tcBorders/>
            <w:shd w:fill="CCEEFF" w:val="clear"/>
            <w:vAlign w:val="bottom"/>
          </w:tcPr>
          <w:p>
            <w:pPr>
              <w:pStyle w:val="TableContents"/>
              <w:bidi w:val="0"/>
              <w:spacing w:before="0" w:after="283"/>
              <w:jc w:val="right"/>
              <w:rPr/>
            </w:pPr>
            <w:r>
              <w:rPr/>
              <w:t>4,000,000</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5.4</w:t>
            </w:r>
          </w:p>
        </w:tc>
        <w:tc>
          <w:tcPr>
            <w:tcW w:w="286" w:type="dxa"/>
            <w:tcBorders/>
            <w:shd w:fill="CCEEFF" w:val="clear"/>
            <w:vAlign w:val="bottom"/>
          </w:tcPr>
          <w:p>
            <w:pPr>
              <w:pStyle w:val="TableContents"/>
              <w:bidi w:val="0"/>
              <w:spacing w:before="0" w:after="283"/>
              <w:jc w:val="left"/>
              <w:rPr/>
            </w:pPr>
            <w:r>
              <w:rPr/>
              <w:t>% </w:t>
            </w:r>
          </w:p>
        </w:tc>
      </w:tr>
      <w:tr>
        <w:trPr>
          <w:trHeight w:val="120" w:hRule="atLeast"/>
        </w:trPr>
        <w:tc>
          <w:tcPr>
            <w:tcW w:w="4200" w:type="dxa"/>
            <w:tcBorders/>
            <w:vAlign w:val="center"/>
          </w:tcPr>
          <w:p>
            <w:pPr>
              <w:pStyle w:val="TableContents"/>
              <w:bidi w:val="0"/>
              <w:spacing w:before="0" w:after="283"/>
              <w:jc w:val="left"/>
              <w:rPr>
                <w:sz w:val="4"/>
                <w:szCs w:val="4"/>
              </w:rPr>
            </w:pPr>
            <w:r>
              <w:rPr>
                <w:sz w:val="4"/>
                <w:szCs w:val="4"/>
              </w:rPr>
            </w:r>
          </w:p>
        </w:tc>
        <w:tc>
          <w:tcPr>
            <w:tcW w:w="3276" w:type="dxa"/>
            <w:gridSpan w:val="4"/>
            <w:tcBorders/>
            <w:vAlign w:val="center"/>
          </w:tcPr>
          <w:p>
            <w:pPr>
              <w:pStyle w:val="TableContents"/>
              <w:bidi w:val="0"/>
              <w:spacing w:before="0" w:after="283"/>
              <w:jc w:val="left"/>
              <w:rPr>
                <w:sz w:val="4"/>
                <w:szCs w:val="4"/>
              </w:rPr>
            </w:pPr>
            <w:r>
              <w:rPr>
                <w:sz w:val="4"/>
                <w:szCs w:val="4"/>
              </w:rPr>
            </w:r>
          </w:p>
        </w:tc>
        <w:tc>
          <w:tcPr>
            <w:tcW w:w="1096" w:type="dxa"/>
            <w:gridSpan w:val="4"/>
            <w:tcBorders/>
            <w:vAlign w:val="center"/>
          </w:tcPr>
          <w:p>
            <w:pPr>
              <w:pStyle w:val="TableContents"/>
              <w:bidi w:val="0"/>
              <w:spacing w:before="0" w:after="283"/>
              <w:jc w:val="left"/>
              <w:rPr>
                <w:sz w:val="4"/>
                <w:szCs w:val="4"/>
              </w:rPr>
            </w:pPr>
            <w:r>
              <w:rPr>
                <w:sz w:val="4"/>
                <w:szCs w:val="4"/>
              </w:rPr>
            </w:r>
          </w:p>
        </w:tc>
      </w:tr>
      <w:tr>
        <w:trPr/>
        <w:tc>
          <w:tcPr>
            <w:tcW w:w="420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Directors and Executive Officers of the Company</w:t>
            </w:r>
          </w:p>
        </w:tc>
        <w:tc>
          <w:tcPr>
            <w:tcW w:w="3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27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Brown(10)</w:t>
            </w:r>
          </w:p>
        </w:tc>
        <w:tc>
          <w:tcPr>
            <w:tcW w:w="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61" w:type="dxa"/>
            <w:tcBorders/>
            <w:shd w:fill="CCEEFF" w:val="clear"/>
            <w:vAlign w:val="bottom"/>
          </w:tcPr>
          <w:p>
            <w:pPr>
              <w:pStyle w:val="TableContents"/>
              <w:bidi w:val="0"/>
              <w:spacing w:before="0" w:after="283"/>
              <w:jc w:val="right"/>
              <w:rPr/>
            </w:pPr>
            <w:r>
              <w:rPr/>
              <w:t>1,243,684</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1.7</w:t>
            </w:r>
          </w:p>
        </w:tc>
        <w:tc>
          <w:tcPr>
            <w:tcW w:w="286" w:type="dxa"/>
            <w:tcBorders/>
            <w:shd w:fill="CCEEFF" w:val="clear"/>
            <w:vAlign w:val="bottom"/>
          </w:tcPr>
          <w:p>
            <w:pPr>
              <w:pStyle w:val="TableContents"/>
              <w:bidi w:val="0"/>
              <w:spacing w:before="0" w:after="283"/>
              <w:jc w:val="left"/>
              <w:rPr/>
            </w:pPr>
            <w:r>
              <w:rPr/>
              <w:t>% </w:t>
            </w:r>
          </w:p>
        </w:tc>
      </w:tr>
      <w:tr>
        <w:trPr/>
        <w:tc>
          <w:tcPr>
            <w:tcW w:w="4200" w:type="dxa"/>
            <w:tcBorders/>
          </w:tcPr>
          <w:p>
            <w:pPr>
              <w:pStyle w:val="TableContents"/>
              <w:bidi w:val="0"/>
              <w:spacing w:before="0" w:after="0"/>
              <w:jc w:val="left"/>
              <w:rPr>
                <w:rFonts w:ascii="Times New Roman" w:hAnsi="Times New Roman"/>
                <w:sz w:val="20"/>
              </w:rPr>
            </w:pPr>
            <w:r>
              <w:rPr>
                <w:rFonts w:ascii="Times New Roman" w:hAnsi="Times New Roman"/>
                <w:sz w:val="20"/>
              </w:rPr>
              <w:t>Kevin Shiiba(11)</w:t>
            </w:r>
          </w:p>
        </w:tc>
        <w:tc>
          <w:tcPr>
            <w:tcW w:w="3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61" w:type="dxa"/>
            <w:tcBorders/>
            <w:vAlign w:val="bottom"/>
          </w:tcPr>
          <w:p>
            <w:pPr>
              <w:pStyle w:val="TableContents"/>
              <w:bidi w:val="0"/>
              <w:spacing w:before="0" w:after="283"/>
              <w:jc w:val="right"/>
              <w:rPr/>
            </w:pPr>
            <w:r>
              <w:rPr/>
              <w:t>924,974</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1.3</w:t>
            </w:r>
          </w:p>
        </w:tc>
        <w:tc>
          <w:tcPr>
            <w:tcW w:w="286"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Alex Eu(12)</w:t>
            </w:r>
          </w:p>
        </w:tc>
        <w:tc>
          <w:tcPr>
            <w:tcW w:w="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61" w:type="dxa"/>
            <w:tcBorders/>
            <w:shd w:fill="CCEEFF" w:val="clear"/>
            <w:vAlign w:val="bottom"/>
          </w:tcPr>
          <w:p>
            <w:pPr>
              <w:pStyle w:val="TableContents"/>
              <w:bidi w:val="0"/>
              <w:spacing w:before="0" w:after="283"/>
              <w:jc w:val="right"/>
              <w:rPr/>
            </w:pPr>
            <w:r>
              <w:rPr/>
              <w:t>702,783</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1.0</w:t>
            </w:r>
          </w:p>
        </w:tc>
        <w:tc>
          <w:tcPr>
            <w:tcW w:w="286" w:type="dxa"/>
            <w:tcBorders/>
            <w:shd w:fill="CCEEFF" w:val="clear"/>
            <w:vAlign w:val="bottom"/>
          </w:tcPr>
          <w:p>
            <w:pPr>
              <w:pStyle w:val="TableContents"/>
              <w:bidi w:val="0"/>
              <w:spacing w:before="0" w:after="283"/>
              <w:jc w:val="left"/>
              <w:rPr/>
            </w:pPr>
            <w:r>
              <w:rPr/>
              <w:t>% </w:t>
            </w:r>
          </w:p>
        </w:tc>
      </w:tr>
      <w:tr>
        <w:trPr/>
        <w:tc>
          <w:tcPr>
            <w:tcW w:w="4200" w:type="dxa"/>
            <w:tcBorders/>
          </w:tcPr>
          <w:p>
            <w:pPr>
              <w:pStyle w:val="TableContents"/>
              <w:bidi w:val="0"/>
              <w:spacing w:before="0" w:after="0"/>
              <w:jc w:val="left"/>
              <w:rPr>
                <w:rFonts w:ascii="Times New Roman" w:hAnsi="Times New Roman"/>
                <w:sz w:val="20"/>
              </w:rPr>
            </w:pPr>
            <w:r>
              <w:rPr>
                <w:rFonts w:ascii="Times New Roman" w:hAnsi="Times New Roman"/>
                <w:sz w:val="20"/>
              </w:rPr>
              <w:t>Madhuri Kommareddi(13)</w:t>
            </w:r>
          </w:p>
        </w:tc>
        <w:tc>
          <w:tcPr>
            <w:tcW w:w="3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61" w:type="dxa"/>
            <w:tcBorders/>
            <w:vAlign w:val="bottom"/>
          </w:tcPr>
          <w:p>
            <w:pPr>
              <w:pStyle w:val="TableContents"/>
              <w:bidi w:val="0"/>
              <w:spacing w:before="0" w:after="283"/>
              <w:jc w:val="right"/>
              <w:rPr/>
            </w:pPr>
            <w:r>
              <w:rPr/>
              <w:t>216,543</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0.3</w:t>
            </w:r>
          </w:p>
        </w:tc>
        <w:tc>
          <w:tcPr>
            <w:tcW w:w="286"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Brian Gaebe(14)</w:t>
            </w:r>
          </w:p>
        </w:tc>
        <w:tc>
          <w:tcPr>
            <w:tcW w:w="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61" w:type="dxa"/>
            <w:tcBorders/>
            <w:shd w:fill="CCEEFF" w:val="clear"/>
            <w:vAlign w:val="bottom"/>
          </w:tcPr>
          <w:p>
            <w:pPr>
              <w:pStyle w:val="TableContents"/>
              <w:bidi w:val="0"/>
              <w:spacing w:before="0" w:after="283"/>
              <w:jc w:val="right"/>
              <w:rPr/>
            </w:pPr>
            <w:r>
              <w:rPr/>
              <w:t>210,432</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0.3</w:t>
            </w:r>
          </w:p>
        </w:tc>
        <w:tc>
          <w:tcPr>
            <w:tcW w:w="286" w:type="dxa"/>
            <w:tcBorders/>
            <w:shd w:fill="CCEEFF" w:val="clear"/>
            <w:vAlign w:val="bottom"/>
          </w:tcPr>
          <w:p>
            <w:pPr>
              <w:pStyle w:val="TableContents"/>
              <w:bidi w:val="0"/>
              <w:spacing w:before="0" w:after="283"/>
              <w:jc w:val="left"/>
              <w:rPr/>
            </w:pPr>
            <w:r>
              <w:rPr/>
              <w:t>% </w:t>
            </w:r>
          </w:p>
        </w:tc>
      </w:tr>
      <w:tr>
        <w:trPr/>
        <w:tc>
          <w:tcPr>
            <w:tcW w:w="4200" w:type="dxa"/>
            <w:tcBorders/>
          </w:tcPr>
          <w:p>
            <w:pPr>
              <w:pStyle w:val="TableContents"/>
              <w:bidi w:val="0"/>
              <w:spacing w:before="0" w:after="0"/>
              <w:jc w:val="left"/>
              <w:rPr>
                <w:rFonts w:ascii="Times New Roman" w:hAnsi="Times New Roman"/>
                <w:sz w:val="20"/>
              </w:rPr>
            </w:pPr>
            <w:r>
              <w:rPr>
                <w:rFonts w:ascii="Times New Roman" w:hAnsi="Times New Roman"/>
                <w:sz w:val="20"/>
              </w:rPr>
              <w:t>Evan Moore(15)</w:t>
            </w:r>
          </w:p>
        </w:tc>
        <w:tc>
          <w:tcPr>
            <w:tcW w:w="3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61" w:type="dxa"/>
            <w:tcBorders/>
            <w:vAlign w:val="bottom"/>
          </w:tcPr>
          <w:p>
            <w:pPr>
              <w:pStyle w:val="TableContents"/>
              <w:bidi w:val="0"/>
              <w:spacing w:before="0" w:after="283"/>
              <w:jc w:val="right"/>
              <w:rPr/>
            </w:pPr>
            <w:r>
              <w:rPr/>
              <w:t>39,675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0.1</w:t>
            </w:r>
          </w:p>
        </w:tc>
        <w:tc>
          <w:tcPr>
            <w:tcW w:w="286"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Richard J. Hendrix(16)</w:t>
            </w:r>
          </w:p>
        </w:tc>
        <w:tc>
          <w:tcPr>
            <w:tcW w:w="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61" w:type="dxa"/>
            <w:tcBorders/>
            <w:shd w:fill="CCEEFF" w:val="clear"/>
            <w:vAlign w:val="bottom"/>
          </w:tcPr>
          <w:p>
            <w:pPr>
              <w:pStyle w:val="TableContents"/>
              <w:bidi w:val="0"/>
              <w:spacing w:before="0" w:after="283"/>
              <w:jc w:val="right"/>
              <w:rPr/>
            </w:pPr>
            <w:r>
              <w:rPr/>
              <w:t>5,124,765</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7.0</w:t>
            </w:r>
          </w:p>
        </w:tc>
        <w:tc>
          <w:tcPr>
            <w:tcW w:w="286" w:type="dxa"/>
            <w:tcBorders/>
            <w:shd w:fill="CCEEFF" w:val="clear"/>
            <w:vAlign w:val="bottom"/>
          </w:tcPr>
          <w:p>
            <w:pPr>
              <w:pStyle w:val="TableContents"/>
              <w:bidi w:val="0"/>
              <w:spacing w:before="0" w:after="283"/>
              <w:jc w:val="left"/>
              <w:rPr/>
            </w:pPr>
            <w:r>
              <w:rPr/>
              <w:t>% </w:t>
            </w:r>
          </w:p>
        </w:tc>
      </w:tr>
      <w:tr>
        <w:trPr/>
        <w:tc>
          <w:tcPr>
            <w:tcW w:w="4200" w:type="dxa"/>
            <w:tcBorders/>
          </w:tcPr>
          <w:p>
            <w:pPr>
              <w:pStyle w:val="TableContents"/>
              <w:bidi w:val="0"/>
              <w:spacing w:before="0" w:after="0"/>
              <w:jc w:val="left"/>
              <w:rPr>
                <w:rFonts w:ascii="Times New Roman" w:hAnsi="Times New Roman"/>
                <w:sz w:val="20"/>
              </w:rPr>
            </w:pPr>
            <w:r>
              <w:rPr>
                <w:rFonts w:ascii="Times New Roman" w:hAnsi="Times New Roman"/>
                <w:sz w:val="20"/>
              </w:rPr>
              <w:t>Adam J. Fishman</w:t>
            </w:r>
          </w:p>
        </w:tc>
        <w:tc>
          <w:tcPr>
            <w:tcW w:w="3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— </w:t>
            </w:r>
          </w:p>
        </w:tc>
        <w:tc>
          <w:tcPr>
            <w:tcW w:w="286"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All directors and executive officers as a group (8 individuals)</w:t>
            </w:r>
          </w:p>
        </w:tc>
        <w:tc>
          <w:tcPr>
            <w:tcW w:w="3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61" w:type="dxa"/>
            <w:tcBorders/>
            <w:shd w:fill="CCEEFF" w:val="clear"/>
            <w:vAlign w:val="bottom"/>
          </w:tcPr>
          <w:p>
            <w:pPr>
              <w:pStyle w:val="TableContents"/>
              <w:bidi w:val="0"/>
              <w:spacing w:before="0" w:after="283"/>
              <w:jc w:val="right"/>
              <w:rPr/>
            </w:pPr>
            <w:r>
              <w:rPr/>
              <w:t>8,462,854</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11.5</w:t>
            </w:r>
          </w:p>
        </w:tc>
        <w:tc>
          <w:tcPr>
            <w:tcW w:w="286"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noted, the business address of each of those listed in the table above is c/o Teamshares Inc. 214 Sullivan Street, 3B, New York, NY 10012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Consists of (i) 11,637,732 shares owned by T. Rowe Price Capital Appreciation, Inc., (ii) 141,294 shares of T. Rowe Price Capital Appreciation Trust, (iii) 1,141,480 shares of Voya Investors Trust - VY T. Rowe Price Capital Appreciation Portfolio and (iv) 122,972 shares owned by Standard Chartered Funds VCC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Signature Select US Allocation (together, the “T Rowe Accounts”). T. Rowe Price Investment Management, Inc. (“TRPIM”) serves as investment adviser or subadvisor, as applicable, with power to direct investments and/or sole power to vote the shares of Common Stock owned by the T. Rowe Accounts. TRPIM may be deemed to be the beneficial owner of all of the shares of Common Stock listed above but disclaims beneficial ownership of such shares. The address of each of the T. Rowe Accounts is T. Rowe Price Investment Management, Inc., 1307 Point Street, Baltimore, MD 21231.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5,298,177 shares owned by Khosla Ventures VII, LP, or KV VII, and (ii) 2,199,994 shares held beneficially by Khosla Ventures Opportunity I, LP, or KV Opp I. The general partner of KV VII is Khosla Ventures Associates VII, LLC, or KVA VII. The general partner of KV Opp I is Khosla Ventures Opportunity Associates I, LLC, or KVOA I. VK Services, LLC, or VK Services, is the sole manager of KVA VII and KVOA I. Vinod Khosla is the managing member of VK Services. Each of Mr. Khosla, VK Services and KVA VII may be deemed to share voting and dispositive power over the shares held by KV VII. Mr. Khosla, VK Services and KVA VII disclaim beneficial ownership of the shares held by KV VII, except to the extent of their respective pecuniary interests therein. Each of Mr. Khosla, VK Services and KVOA I may be deemed to share voting and dispositive power over the shares held by KV Opp I. Mr. Khosla, VK Services and KVOA I disclaim beneficial ownership of such shares held by KV Opp I, except to the extent of their respective pecuniary interests therein. The business address for Mr. Khosla, and each of the foregoing entities, is 2128 Sand Hill Road, Menlo Park, California 94025.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5,992,667 shares held beneficially by QED Growth Fund, L.P.. QED Partners Growth, LLC is the general partner of QED Growth Fund, L.P.. Nigel Morris is the managing member of QED Partners Growth, LLC and may be deemed to share voting and dispositive power over the shares held by QED Growth Fund, L.P.. Each of the foregoing persons and entities disclaims beneficial ownership of the reported shares except to the extent of their pecuniary interest therein. The business address of the foregoing entities is 405 Cameron Street, Alexandria, Virginia 22314.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3,608,626 shares held by Spark Capital Growth Fund III, L.P. and 36,813 shares owned by Spark Capital Growth Founders’ Fund III, L.P. (together, the “Spark Entities”). Spark Growth Management Partners III, LLC is the General Partner of the Spark Entities. Alex Finkelstein, Jeremy Philips, and Santo Politi are the Managing Members of Spark Growth Management Partners III, LLC and hold voting and dispositive power over the shares held by the Spark Entities. Each of the foregoing persons disclaims beneficial ownership of the reported shares except to the extent of their pecuniary interest therein. The business address of Spark Capital is 200 Clarendon Street, Floor 59, Boston, MA 02116.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2,621,470 shares held beneficially by Inspired Capital Partners I, L.P., (ii) 1,484,996 shares held beneficially by Inspired Capital Partners TMS2, L.P., or TMS2, and (iii) 478,534 shares owned by Inspired Capital TMS, L.P., or TMS. Inspired Capital Partners GP I, LLC is the general partner of Inspired Capital Partners I, L.P. Inspired Capital GP SPV, LLC is the general partner of each of TMS and TMS2. Alexa von Tobel is the managing member of each of Inspired Capital Partners GP I, LLC and Inspired Capital GP SPV, LLC and holds voting and dispositive power over the shares held by each of the foregoing entities. Each of the foregoing persons and entities disclaims beneficial ownership of the reported shares except to the extent of his or her pecuniary interest therein. The business address for Ms. von Tobel and each of the foregoing entities is 817 Broadway, 8th Floor, New York, NY 10003.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128,647 shares held beneficially by Slow Ventures III-A, LP, (ii) 2,361,901 shares held beneficially by Slow Ventures III, LP (together, the Slow Ventures III Entities), (iii) 1,197,476 shares held beneficially by Slow Ventures Opportunity Fund I, L.P., and (iv) 1,299,988 shares owned by Slow Ventures Opportunity Fund II, LP (the Slow Ventures III Entities together with Slow Ventures Opportunity Fund I, L.P. and Slow Ventures Opportunity Fund II, L.P., collectively, the Slow Funds). Slow Ventures GP III, LLC is the general partner of each of the Slow Ventures III Entities. Slow Ventures Opportunity GP I, LLC is the general partner of Slow Ventures Opportunity Fund I, L.P. Slow Ventures Opportunity GP II, LLC is the general partner of Slow Ventures Opportunity Fund II, L.P. Slow Ventures, LLC serves as investment manager to each of the Slow Funds. Kevin Colleran serves as Managing Director of each of Slow Ventures GP III, LLC, Slow Ventures Opportunity GP I, LLC, and Slow Ventures Opportunity GP II, LLC and may be deemed to share voting and dispositive power over, and beneficially own, the shares held by each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Slow Funds. Each of the foregoing persons and entities disclaims beneficial ownership of the reported shares except to the extent of his or its pecuniary interest therein. The business address for Mr. Colleran and each of the foregoing entities is 1006 Kearny Street, San Francisco, CA 94133.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2,271,932 shares held beneficially by USV 2019, LP, (ii) 91,920 shares held beneficially by USV Bundled 2022, LP, (iii) 14,441 shares held beneficially by USV Bundled Investors 2022, LP, (iv) 106,739 shares held beneficially by USV Investors 2019, LP, and (v) 1,543,615 shares owned by USV Opportunity 2022, LP. USV 2019 GP, LLC is the general partner of each of USV 2019, LP and USV Investors 2019, LP and serves as investment manager to such funds. USV Opportunity 2022 GP, LLC is the general partner of USV Opportunity 2022, LP and serves as investment manager to such fund. USV Bundled 2022 GP, LLC is the general partner of each of USV Bundled 2022, LP and USV Bundled Investors 2022, LP and serves as investment manager to such funds. Each of USV 2019 GP, LLC, USV Opportunity 2022 GP, LLC, and USV Bundled 2022 GP, LLC may be deemed to share voting and dispositive power over, and beneficially own, the shares held by their respective funds. Each of the foregoing entities disclaims beneficial ownership of the reported shares except to the extent of its pecuniary interest therein. The business address for each of the foregoing entities is 817 Broadway, 14th Floor, New York, NY 10003.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Hudson Bay Capital Management LP, the investment manager of HB Strategies LLC, has voting and investment power over these securities. Sander Gerber is the managing member of Hudson Bay Capital GP LLC, which is the general partner of Hudson Bay Capital Management LP. Each of HB Strategies LLC and Sander Gerber disclaims beneficial ownership over these securities. The address of HB Strategies LLC is c/o Hudson Bay Capital Management LP, 290 Harbor Drive, 3rd Floor, Stamford, CT 06902.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27,174 shares issued in connection with the PIPE Investment.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27,174 shares issued in connection with the PIPE Investment. Includes 148,000 options that will have vested within 60 days of June 18,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27,174 shares issued in connection with the PIPE Investment. Includes 380,971 options that will have vested within 60 days of June 18,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13,587 shares issued in connection with the PIPE Investment. Includes 202,956 options that will have vested within 60 days of June 18,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13,587 shares issued in connection with the PIPE Investment. Includes 196,845 options that will have vested within 60 days of June 18,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11,870 shares in connection with the Teamshares SAFE Investment.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1,674,765 unvested Deferred Founder Shares and Incentive Founder Shares subject to forfeiture if certain stock price thresholds are not achieved as detailed in the Sponsor Letter Agreement. The Sponsor is the record holder of such shares. Richard J. Hendrix, Live Oak’s Chief Executive Officer, is the managing member of the Sponsor and controls the management of the Sponsor, including the exercise of voting and investment discretion over the securities of Live Oak held by the Sponsor. Mr. Hendrix disclaims any beneficial ownership of the securities held by the Sponsor other than to the extent of any pecuniary interest he may have therein, directly or indirectly. All of Live Oak’s officers and directors and certain of their affiliates are direct or indirect members of the Sponsor. Each such person disclaims any beneficial ownership of the reported shares other than to the extent of any pecuniary interest they may have therein, directly or indirectly.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58823_16"/>
      <w:bookmarkEnd w:id="18"/>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resale from time to time of (i) an aggregate of     shares of our Common Stock, (ii) Warrants, and (iii)    shares of Common Stock underlying the Warrants. The Selling Securityholders may from time to time offer and sell any or all of the shares of Common Stock and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Stock and Warrants other than through a public sale.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Selling Securityholders have purchased or may acquire or purchase their respective shares of Common Stock at prices lower than current market prices and may therefore experience a positive rate of return on their investment, even if our public stockholders experience a negative rate of return on their investment. As a result, the Selling Securityholders are able to recognize a greater return on their investment than public stockholders. Furthermore, the Selling Securityholders may earn a positive rate of return even if the price of the Common Stock declines significantly. As a result, the Selling Securityholders may be willing to sell their shares at a price less than stockholders that acquired their Common Stock in the public market or at higher prices than the price paid by such Selling Securityholders, the sale of which would result in the Selling Securityholder realizing a significant gain even if other Teamshares securityholders experience a negative rate of return. For example, in connection with Live Oak’s IPO, the Sponsor and its affiliates paid an aggregate of $25,000, or approximately $0.004 per share, for an aggregate of 8,333,333 shares. Even when our trading price is significantly below $10.00, the offering price for the units offered in Live Oak’s IPO, certain of the Selling Securityholders, including the Sponsor and its affiliates, may still have an incentive to sell Common Stock because they purchased the shares at prices lower than the public investors or the current trading price of our Common Stock. For example, based on the closing price of our Common Stock of $6.95 on July 15, 2026, the Sponsor and its affiliates would experience a potential profit of up to approximately $6.95 per share. </w:t>
      </w:r>
    </w:p>
    <w:p>
      <w:pPr>
        <w:pStyle w:val="TextBody"/>
        <w:bidi w:val="0"/>
        <w:spacing w:before="240" w:after="0"/>
        <w:jc w:val="left"/>
        <w:rPr>
          <w:rFonts w:ascii="Times New Roman" w:hAnsi="Times New Roman"/>
          <w:sz w:val="20"/>
        </w:rPr>
      </w:pPr>
      <w:r>
        <w:rPr>
          <w:rFonts w:ascii="Times New Roman" w:hAnsi="Times New Roman"/>
          <w:sz w:val="20"/>
        </w:rPr>
        <w:t xml:space="preserve">The sale or possibility of sale of shares of Common Stock, including those pursuant to this prospectus, could have the effect of increasing the volatility in our Common Stock price or putting significant downward pressure on the price of our Common Stock. The Common Stock being offered for resale by the Selling Securityholders pursuant to this prospectus represent approximately   % of our total issued and outstanding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as of July  , 2026, the name of the Selling Securityholders for which we are registering Common Stock and Warrants for resale to the public, and the aggregate number of shares of the Common Stock that the Selling Securityholders may offer pursuant to this prospectus. In accordance with SEC rules, the entity below is shown as having beneficial ownership over securities it owns or has the right to acquire within 60 days, as well as securities for which it has the right to vote or dispose of such securities. Also, in accordance with SEC rules, for purposes of calculating percentages of beneficial ownership, securities which a person has the right to acquire within 60 days of the date of this prospectus are included both in that person’s beneficial ownership as well as in the total number of securities issued and outstanding used to calculate that person’s percentage ownership but not for purposes of calculating the percentage for other persons. We have based percentage ownership on 73,660,538 shares of Common Stock outstanding as of the date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Because the Selling Securityholders may dispose of all, none or some portion of their Common Stock and Warrants, no estimate can be given as to the number of shares Common Stock and Warrants that will be beneficially owned by the Selling Securityholders upon termination of this offering. For purposes of the table below, however, we have assumed that after termination of this offering none of the shares of Common Stock and Warrants covered by this prospectus will be beneficially owned by the Selling Securityholders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presented. Please see the section titled “</w:t>
      </w:r>
      <w:r>
        <w:rPr>
          <w:rFonts w:ascii="Times New Roman" w:hAnsi="Times New Roman"/>
          <w:i/>
          <w:sz w:val="20"/>
        </w:rPr>
        <w:t>Plan of Distribution</w:t>
      </w:r>
      <w:r>
        <w:rPr>
          <w:rFonts w:ascii="Times New Roman" w:hAnsi="Times New Roman"/>
          <w:sz w:val="20"/>
        </w:rPr>
        <w:t xml:space="preserve">” for further information regarding the Selling Securityholders’ method of distributing these shares of Common Stock and Warrants.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48"/>
        <w:gridCol w:w="167"/>
        <w:gridCol w:w="482"/>
        <w:gridCol w:w="483"/>
        <w:gridCol w:w="60"/>
        <w:gridCol w:w="167"/>
        <w:gridCol w:w="505"/>
        <w:gridCol w:w="505"/>
        <w:gridCol w:w="60"/>
        <w:gridCol w:w="167"/>
        <w:gridCol w:w="157"/>
        <w:gridCol w:w="823"/>
        <w:gridCol w:w="60"/>
        <w:gridCol w:w="167"/>
        <w:gridCol w:w="60"/>
        <w:gridCol w:w="395"/>
        <w:gridCol w:w="60"/>
        <w:gridCol w:w="167"/>
        <w:gridCol w:w="144"/>
        <w:gridCol w:w="927"/>
        <w:gridCol w:w="125"/>
        <w:gridCol w:w="295"/>
        <w:gridCol w:w="136"/>
        <w:gridCol w:w="877"/>
        <w:gridCol w:w="68"/>
      </w:tblGrid>
      <w:tr>
        <w:trPr/>
        <w:tc>
          <w:tcPr>
            <w:tcW w:w="3148"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148"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Securityholder(1)</w:t>
            </w:r>
          </w:p>
        </w:tc>
        <w:tc>
          <w:tcPr>
            <w:tcW w:w="167" w:type="dxa"/>
            <w:tcBorders/>
            <w:vAlign w:val="bottom"/>
          </w:tcPr>
          <w:p>
            <w:pPr>
              <w:pStyle w:val="TableContents"/>
              <w:bidi w:val="0"/>
              <w:spacing w:before="0" w:after="283"/>
              <w:jc w:val="left"/>
              <w:rPr/>
            </w:pPr>
            <w:r>
              <w:rPr/>
              <w:t>  </w:t>
            </w:r>
          </w:p>
        </w:tc>
        <w:tc>
          <w:tcPr>
            <w:tcW w:w="409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Teamshares Inc. Securities Beneficially</w:t>
              <w:br/>
              <w:t>Owned Before this Offering</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Teamshares Inc.</w:t>
              <w:br/>
              <w:t>Securities Beneficially</w:t>
              <w:br/>
              <w:t>Owned Following</w:t>
              <w:br/>
              <w:t>this Offering(2)</w:t>
            </w:r>
          </w:p>
        </w:tc>
        <w:tc>
          <w:tcPr>
            <w:tcW w:w="68" w:type="dxa"/>
            <w:tcBorders/>
            <w:vAlign w:val="bottom"/>
          </w:tcPr>
          <w:p>
            <w:pPr>
              <w:pStyle w:val="TableContents"/>
              <w:bidi w:val="0"/>
              <w:spacing w:before="0" w:after="283"/>
              <w:jc w:val="left"/>
              <w:rPr/>
            </w:pPr>
            <w:r>
              <w:rPr/>
              <w:t> </w:t>
            </w:r>
          </w:p>
        </w:tc>
      </w:tr>
      <w:tr>
        <w:trPr/>
        <w:tc>
          <w:tcPr>
            <w:tcW w:w="3148" w:type="dxa"/>
            <w:vMerge w:val="continue"/>
            <w:tcBorders/>
            <w:vAlign w:val="bottom"/>
          </w:tcPr>
          <w:p>
            <w:pPr>
              <w:pStyle w:val="Normal"/>
              <w:bidi w:val="0"/>
              <w:jc w:val="left"/>
              <w:rPr/>
            </w:pPr>
            <w:r>
              <w:rPr/>
            </w:r>
          </w:p>
        </w:tc>
        <w:tc>
          <w:tcPr>
            <w:tcW w:w="167" w:type="dxa"/>
            <w:vMerge w:val="restart"/>
            <w:tcBorders/>
            <w:vAlign w:val="bottom"/>
          </w:tcPr>
          <w:p>
            <w:pPr>
              <w:pStyle w:val="TableContents"/>
              <w:bidi w:val="0"/>
              <w:spacing w:before="0" w:after="283"/>
              <w:jc w:val="left"/>
              <w:rPr/>
            </w:pPr>
            <w:r>
              <w:rPr/>
              <w:t>  </w:t>
            </w:r>
          </w:p>
        </w:tc>
        <w:tc>
          <w:tcPr>
            <w:tcW w:w="96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Shares of</w:t>
              <w:br/>
              <w:t>Common</w:t>
              <w:br/>
              <w:t>Stock</w:t>
            </w:r>
          </w:p>
        </w:tc>
        <w:tc>
          <w:tcPr>
            <w:tcW w:w="60" w:type="dxa"/>
            <w:vMerge w:val="restart"/>
            <w:tcBorders/>
            <w:vAlign w:val="bottom"/>
          </w:tcPr>
          <w:p>
            <w:pPr>
              <w:pStyle w:val="TableContents"/>
              <w:bidi w:val="0"/>
              <w:spacing w:before="0" w:after="283"/>
              <w:jc w:val="left"/>
              <w:rPr/>
            </w:pPr>
            <w:r>
              <w:rPr/>
              <w:t> </w:t>
            </w:r>
          </w:p>
        </w:tc>
        <w:tc>
          <w:tcPr>
            <w:tcW w:w="167" w:type="dxa"/>
            <w:vMerge w:val="restart"/>
            <w:tcBorders/>
            <w:vAlign w:val="bottom"/>
          </w:tcPr>
          <w:p>
            <w:pPr>
              <w:pStyle w:val="TableContents"/>
              <w:bidi w:val="0"/>
              <w:spacing w:before="0" w:after="283"/>
              <w:jc w:val="left"/>
              <w:rPr/>
            </w:pPr>
            <w:r>
              <w:rPr/>
              <w:t>  </w:t>
            </w:r>
          </w:p>
        </w:tc>
        <w:tc>
          <w:tcPr>
            <w:tcW w:w="101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vMerge w:val="restart"/>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6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r>
          </w:p>
        </w:tc>
        <w:tc>
          <w:tcPr>
            <w:tcW w:w="60" w:type="dxa"/>
            <w:tcBorders/>
            <w:vAlign w:val="bottom"/>
          </w:tcPr>
          <w:p>
            <w:pPr>
              <w:pStyle w:val="TableContents"/>
              <w:bidi w:val="0"/>
              <w:spacing w:before="0" w:after="283"/>
              <w:jc w:val="left"/>
              <w:rPr/>
            </w:pPr>
            <w:r>
              <w:rPr/>
              <w:t> </w:t>
            </w:r>
          </w:p>
        </w:tc>
        <w:tc>
          <w:tcPr>
            <w:tcW w:w="167" w:type="dxa"/>
            <w:vMerge w:val="restart"/>
            <w:tcBorders/>
            <w:vAlign w:val="bottom"/>
          </w:tcPr>
          <w:p>
            <w:pPr>
              <w:pStyle w:val="TableContents"/>
              <w:bidi w:val="0"/>
              <w:spacing w:before="0" w:after="283"/>
              <w:jc w:val="left"/>
              <w:rPr/>
            </w:pPr>
            <w:r>
              <w:rPr/>
              <w:t>  </w:t>
            </w:r>
          </w:p>
        </w:tc>
        <w:tc>
          <w:tcPr>
            <w:tcW w:w="1071"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Private</w:t>
              <w:br/>
              <w:t>Placement</w:t>
              <w:br/>
              <w:t>Warrants</w:t>
            </w:r>
          </w:p>
        </w:tc>
        <w:tc>
          <w:tcPr>
            <w:tcW w:w="125" w:type="dxa"/>
            <w:vMerge w:val="restart"/>
            <w:tcBorders/>
            <w:vAlign w:val="bottom"/>
          </w:tcPr>
          <w:p>
            <w:pPr>
              <w:pStyle w:val="TableContents"/>
              <w:bidi w:val="0"/>
              <w:spacing w:before="0" w:after="283"/>
              <w:jc w:val="left"/>
              <w:rPr/>
            </w:pPr>
            <w:r>
              <w:rPr/>
              <w:t> </w:t>
            </w:r>
          </w:p>
        </w:tc>
        <w:tc>
          <w:tcPr>
            <w:tcW w:w="295" w:type="dxa"/>
            <w:vMerge w:val="restart"/>
            <w:tcBorders/>
            <w:vAlign w:val="bottom"/>
          </w:tcPr>
          <w:p>
            <w:pPr>
              <w:pStyle w:val="TableContents"/>
              <w:bidi w:val="0"/>
              <w:spacing w:before="0" w:after="283"/>
              <w:jc w:val="left"/>
              <w:rPr/>
            </w:pPr>
            <w:r>
              <w:rPr/>
              <w:t>  </w:t>
            </w:r>
          </w:p>
        </w:tc>
        <w:tc>
          <w:tcPr>
            <w:tcW w:w="1013"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Public</w:t>
              <w:br/>
              <w:t>Warrants</w:t>
            </w:r>
          </w:p>
        </w:tc>
        <w:tc>
          <w:tcPr>
            <w:tcW w:w="68" w:type="dxa"/>
            <w:vMerge w:val="restart"/>
            <w:tcBorders/>
            <w:vAlign w:val="bottom"/>
          </w:tcPr>
          <w:p>
            <w:pPr>
              <w:pStyle w:val="TableContents"/>
              <w:bidi w:val="0"/>
              <w:spacing w:before="0" w:after="283"/>
              <w:jc w:val="left"/>
              <w:rPr/>
            </w:pPr>
            <w:r>
              <w:rPr/>
              <w:t> </w:t>
            </w:r>
          </w:p>
        </w:tc>
      </w:tr>
      <w:tr>
        <w:trPr/>
        <w:tc>
          <w:tcPr>
            <w:tcW w:w="3148" w:type="dxa"/>
            <w:vMerge w:val="continue"/>
            <w:tcBorders/>
            <w:vAlign w:val="bottom"/>
          </w:tcPr>
          <w:p>
            <w:pPr>
              <w:pStyle w:val="Normal"/>
              <w:bidi w:val="0"/>
              <w:jc w:val="left"/>
              <w:rPr/>
            </w:pPr>
            <w:r>
              <w:rPr/>
            </w:r>
          </w:p>
        </w:tc>
        <w:tc>
          <w:tcPr>
            <w:tcW w:w="167" w:type="dxa"/>
            <w:vMerge w:val="continue"/>
            <w:tcBorders/>
            <w:vAlign w:val="bottom"/>
          </w:tcPr>
          <w:p>
            <w:pPr>
              <w:pStyle w:val="Normal"/>
              <w:bidi w:val="0"/>
              <w:jc w:val="left"/>
              <w:rPr/>
            </w:pPr>
            <w:r>
              <w:rPr/>
            </w:r>
          </w:p>
        </w:tc>
        <w:tc>
          <w:tcPr>
            <w:tcW w:w="96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67" w:type="dxa"/>
            <w:vMerge w:val="continue"/>
            <w:tcBorders>
              <w:bottom w:val="single" w:sz="8" w:space="0" w:color="000000"/>
            </w:tcBorders>
            <w:tcMar>
              <w:bottom w:w="28" w:type="dxa"/>
            </w:tcMar>
            <w:vAlign w:val="bottom"/>
          </w:tcPr>
          <w:p>
            <w:pPr>
              <w:pStyle w:val="Normal"/>
              <w:bidi w:val="0"/>
              <w:jc w:val="left"/>
              <w:rPr/>
            </w:pPr>
            <w:r>
              <w:rPr/>
            </w:r>
          </w:p>
        </w:tc>
        <w:tc>
          <w:tcPr>
            <w:tcW w:w="101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67"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4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67" w:type="dxa"/>
            <w:vMerge w:val="continue"/>
            <w:tcBorders/>
            <w:vAlign w:val="bottom"/>
          </w:tcPr>
          <w:p>
            <w:pPr>
              <w:pStyle w:val="Normal"/>
              <w:bidi w:val="0"/>
              <w:jc w:val="left"/>
              <w:rPr/>
            </w:pPr>
            <w:r>
              <w:rPr/>
            </w:r>
          </w:p>
        </w:tc>
        <w:tc>
          <w:tcPr>
            <w:tcW w:w="1071" w:type="dxa"/>
            <w:gridSpan w:val="2"/>
            <w:vMerge w:val="continue"/>
            <w:tcBorders>
              <w:bottom w:val="single" w:sz="8" w:space="0" w:color="000000"/>
            </w:tcBorders>
            <w:tcMar>
              <w:bottom w:w="28" w:type="dxa"/>
            </w:tcMar>
            <w:vAlign w:val="bottom"/>
          </w:tcPr>
          <w:p>
            <w:pPr>
              <w:pStyle w:val="Normal"/>
              <w:bidi w:val="0"/>
              <w:jc w:val="left"/>
              <w:rPr/>
            </w:pPr>
            <w:r>
              <w:rPr/>
            </w:r>
          </w:p>
        </w:tc>
        <w:tc>
          <w:tcPr>
            <w:tcW w:w="125" w:type="dxa"/>
            <w:vMerge w:val="continue"/>
            <w:tcBorders/>
            <w:vAlign w:val="bottom"/>
          </w:tcPr>
          <w:p>
            <w:pPr>
              <w:pStyle w:val="Normal"/>
              <w:bidi w:val="0"/>
              <w:jc w:val="left"/>
              <w:rPr/>
            </w:pPr>
            <w:r>
              <w:rPr/>
            </w:r>
          </w:p>
        </w:tc>
        <w:tc>
          <w:tcPr>
            <w:tcW w:w="295" w:type="dxa"/>
            <w:vMerge w:val="continue"/>
            <w:tcBorders>
              <w:bottom w:val="single" w:sz="8" w:space="0" w:color="000000"/>
            </w:tcBorders>
            <w:tcMar>
              <w:bottom w:w="28" w:type="dxa"/>
            </w:tcMar>
            <w:vAlign w:val="bottom"/>
          </w:tcPr>
          <w:p>
            <w:pPr>
              <w:pStyle w:val="Normal"/>
              <w:bidi w:val="0"/>
              <w:jc w:val="left"/>
              <w:rPr/>
            </w:pPr>
            <w:r>
              <w:rPr/>
            </w:r>
          </w:p>
        </w:tc>
        <w:tc>
          <w:tcPr>
            <w:tcW w:w="1013" w:type="dxa"/>
            <w:gridSpan w:val="2"/>
            <w:vMerge w:val="continue"/>
            <w:tcBorders/>
            <w:vAlign w:val="bottom"/>
          </w:tcPr>
          <w:p>
            <w:pPr>
              <w:pStyle w:val="Normal"/>
              <w:bidi w:val="0"/>
              <w:jc w:val="left"/>
              <w:rPr/>
            </w:pPr>
            <w:r>
              <w:rPr/>
            </w:r>
          </w:p>
        </w:tc>
        <w:tc>
          <w:tcPr>
            <w:tcW w:w="68" w:type="dxa"/>
            <w:vMerge w:val="continue"/>
            <w:tcBorders/>
            <w:vAlign w:val="bottom"/>
          </w:tcPr>
          <w:p>
            <w:pPr>
              <w:pStyle w:val="Normal"/>
              <w:bidi w:val="0"/>
              <w:jc w:val="left"/>
              <w:rPr/>
            </w:pPr>
            <w:r>
              <w:rPr/>
            </w:r>
          </w:p>
        </w:tc>
      </w:tr>
      <w:tr>
        <w:trPr/>
        <w:tc>
          <w:tcPr>
            <w:tcW w:w="3148" w:type="dxa"/>
            <w:tcBorders/>
            <w:shd w:fill="CCEEFF" w:val="clear"/>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sz w:val="4"/>
                <w:szCs w:val="4"/>
              </w:rPr>
            </w:pPr>
            <w:r>
              <w:rPr>
                <w:sz w:val="4"/>
                <w:szCs w:val="4"/>
              </w:rPr>
            </w:r>
          </w:p>
        </w:tc>
        <w:tc>
          <w:tcPr>
            <w:tcW w:w="4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sz w:val="4"/>
                <w:szCs w:val="4"/>
              </w:rPr>
            </w:pPr>
            <w:r>
              <w:rPr>
                <w:sz w:val="4"/>
                <w:szCs w:val="4"/>
              </w:rPr>
            </w:r>
          </w:p>
        </w:tc>
        <w:tc>
          <w:tcPr>
            <w:tcW w:w="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3148" w:type="dxa"/>
            <w:tcBorders/>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3148" w:type="dxa"/>
            <w:tcBorders/>
            <w:shd w:fill="CCEEFF" w:val="clear"/>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sz w:val="4"/>
                <w:szCs w:val="4"/>
              </w:rPr>
            </w:pPr>
            <w:r>
              <w:rPr>
                <w:sz w:val="4"/>
                <w:szCs w:val="4"/>
              </w:rPr>
            </w:r>
          </w:p>
        </w:tc>
        <w:tc>
          <w:tcPr>
            <w:tcW w:w="4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sz w:val="4"/>
                <w:szCs w:val="4"/>
              </w:rPr>
            </w:pPr>
            <w:r>
              <w:rPr>
                <w:sz w:val="4"/>
                <w:szCs w:val="4"/>
              </w:rPr>
            </w:r>
          </w:p>
        </w:tc>
        <w:tc>
          <w:tcPr>
            <w:tcW w:w="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3148" w:type="dxa"/>
            <w:tcBorders/>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3148" w:type="dxa"/>
            <w:tcBorders/>
            <w:shd w:fill="CCEEFF" w:val="clear"/>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sz w:val="4"/>
                <w:szCs w:val="4"/>
              </w:rPr>
            </w:pPr>
            <w:r>
              <w:rPr>
                <w:sz w:val="4"/>
                <w:szCs w:val="4"/>
              </w:rPr>
            </w:r>
          </w:p>
        </w:tc>
        <w:tc>
          <w:tcPr>
            <w:tcW w:w="4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sz w:val="4"/>
                <w:szCs w:val="4"/>
              </w:rPr>
            </w:pPr>
            <w:r>
              <w:rPr>
                <w:sz w:val="4"/>
                <w:szCs w:val="4"/>
              </w:rPr>
            </w:r>
          </w:p>
        </w:tc>
        <w:tc>
          <w:tcPr>
            <w:tcW w:w="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3148" w:type="dxa"/>
            <w:tcBorders/>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3148" w:type="dxa"/>
            <w:tcBorders/>
            <w:shd w:fill="CCEEFF" w:val="clear"/>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sz w:val="4"/>
                <w:szCs w:val="4"/>
              </w:rPr>
            </w:pPr>
            <w:r>
              <w:rPr>
                <w:sz w:val="4"/>
                <w:szCs w:val="4"/>
              </w:rPr>
            </w:r>
          </w:p>
        </w:tc>
        <w:tc>
          <w:tcPr>
            <w:tcW w:w="4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sz w:val="4"/>
                <w:szCs w:val="4"/>
              </w:rPr>
            </w:pPr>
            <w:r>
              <w:rPr>
                <w:sz w:val="4"/>
                <w:szCs w:val="4"/>
              </w:rPr>
            </w:r>
          </w:p>
        </w:tc>
        <w:tc>
          <w:tcPr>
            <w:tcW w:w="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3148" w:type="dxa"/>
            <w:tcBorders/>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noted, the business address of each of those listed in the table above is c/o Teamshares Inc. 214 Sullivan Street, 3B, New York, NY 10012.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that the Selling Securityholders sell all of their shares of Common Stock offered pursuant to this prospectus. The percentage ownership is determined for each Selling Securityholder by taking into account the issuance and sale of shares of Common Stock of only such Selling Securityholder.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58823_17"/>
      <w:bookmarkEnd w:id="19"/>
      <w:r>
        <w:rPr>
          <w:rFonts w:ascii="Times New Roman" w:hAnsi="Times New Roman"/>
          <w:b/>
          <w:sz w:val="20"/>
        </w:rPr>
        <w:t xml:space="preserve">CERTAIN RELATIONSHIPS AND RELATED PERSON TRANSACTIONS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Executive and Director Guarantees of Company Obligations </w:t>
      </w:r>
    </w:p>
    <w:p>
      <w:pPr>
        <w:pStyle w:val="TextBody"/>
        <w:bidi w:val="0"/>
        <w:spacing w:before="120" w:after="0"/>
        <w:jc w:val="left"/>
        <w:rPr>
          <w:rFonts w:ascii="Times New Roman" w:hAnsi="Times New Roman"/>
          <w:sz w:val="20"/>
        </w:rPr>
      </w:pPr>
      <w:r>
        <w:rPr>
          <w:rFonts w:ascii="Times New Roman" w:hAnsi="Times New Roman"/>
          <w:sz w:val="20"/>
        </w:rPr>
        <w:t xml:space="preserve">Certain executives have provided personal guarantees of obligations incurred by the Company or its subsidiaries: </w:t>
      </w:r>
    </w:p>
    <w:p>
      <w:pPr>
        <w:pStyle w:val="TextBody"/>
        <w:bidi w:val="0"/>
        <w:spacing w:before="360" w:after="0"/>
        <w:jc w:val="left"/>
        <w:rPr>
          <w:rFonts w:ascii="Times New Roman" w:hAnsi="Times New Roman"/>
          <w:sz w:val="20"/>
        </w:rPr>
      </w:pPr>
      <w:r>
        <w:rPr>
          <w:rFonts w:ascii="Times New Roman" w:hAnsi="Times New Roman"/>
          <w:b/>
          <w:i/>
          <w:sz w:val="20"/>
        </w:rPr>
        <w:t>Michael Brown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Brown has provided a personal guarantee of (i) a seller note issued by an operating subsidiary as of February 3, 2020. As of March 31, 2026, the seller note had a remaining principal amount of $0.2 million, bearing interest at 7% per annum and maturing in 2030, and (ii) Teamshares Inc.’s related earnout obligations payable to the former owners of this operating subsidiary capped at $0.1 million,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provided a personal guarantee of an operating subsidiary lease obligation with remaining obligations of $0.4 million as of March 31, 2026 and a remaining term through May,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provided a personal guarantee of a seller note issued by Teamshares Inc. as of December 1, 2023. As of March 31, 2026, the seller note had a remaining principal amount of $0.4 million, bearing interest at 5% per annum and maturing in 2028,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provided a personal guarantee of a seller note issued by Teamshares Inc. as of February 15, 2024. As of March 31, 2026, the seller note had a remaining principal amount of $0.5 million, bearing interest at 6.25% per annum and maturing in 2029,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provided a personal guarantee of a commercial loan issued January 1, 2025 that was used to finance the acquisition of an operating subsidiary. As of March 31, 2026, the loan had a remaining principal amount of $4.2 million, bearing interest at 7.95% per annum and maturing in 2030,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provided a personal guarantee of a seller note issued by Teamshares Inc. as of January 17, 2025. As of March 31, 2026, the seller note had a remaining principal amount of $0.4 million, bearing interest at 6% per annum and maturing in 2030,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provided a personal guarantee of (i) the payment of $2.4 million of deferred consideration for an operating subsidiary that was acquired during 2025. This payment is required within 60 days of the Closing; (ii) a lease obligation for this operating subsidiary with remaining obligations of $8.7 million as of March 31, 2026 and a remaining term through November, 2045; (iii) Teamshares Inc.’s related earnout obligations payable to the former owners of this operating subsidiary capped at $3.6 million,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provided a personal guarantee of a seller note issued by Teamshares Inc. as of December 23, 2025. As of March 31, 2026, the seller note had a remaining principal amount of $2.3 million, bearing interest at 12% per annum and maturing in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provided a personal guarantee of a seller note issued by Teamshares Inc. as of May 1, 2025. As of March 31, 2026, the seller note had a remaining principal amount of $7.3 million, bearing interest at 12% per annum and maturing in 2026. This seller note was repaid in full during July 2026. </w:t>
            </w:r>
          </w:p>
        </w:tc>
      </w:tr>
    </w:tbl>
    <w:p>
      <w:pPr>
        <w:pStyle w:val="TextBody"/>
        <w:bidi w:val="0"/>
        <w:spacing w:before="360" w:after="0"/>
        <w:jc w:val="left"/>
        <w:rPr>
          <w:rFonts w:ascii="Times New Roman" w:hAnsi="Times New Roman"/>
          <w:sz w:val="20"/>
        </w:rPr>
      </w:pPr>
      <w:r>
        <w:rPr>
          <w:rFonts w:ascii="Times New Roman" w:hAnsi="Times New Roman"/>
          <w:b/>
          <w:i/>
          <w:sz w:val="20"/>
        </w:rPr>
        <w:t>Alex Eu</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Eu has provided a personal guarantee of (i) a seller note issued by an operating subsidiary as of February 3, 2020. As of March 31, 2026, the seller note had a remaining principal amount of $0.2 million, bearing interest at 7% per annum and maturing on January 31, 2030, and (ii) Teamshares Inc.’s related earnout obligations payable to the former owners of this operating subsidiary capped at $0.1 million,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provided a personal guarantee of a commercial loan issued November 20, 2025 that was used to finance the acquisition of an operating subsidiary. As of March 31, 2026, the loan had a remaining principal amount of $8.5 million, bearing interest at SOFR + 3% per annum and maturing in 2030. </w:t>
            </w:r>
          </w:p>
        </w:tc>
      </w:tr>
    </w:tbl>
    <w:p>
      <w:pPr>
        <w:pStyle w:val="TextBody"/>
        <w:bidi w:val="0"/>
        <w:spacing w:before="360" w:after="0"/>
        <w:jc w:val="left"/>
        <w:rPr>
          <w:rFonts w:ascii="Times New Roman" w:hAnsi="Times New Roman"/>
          <w:sz w:val="20"/>
        </w:rPr>
      </w:pPr>
      <w:r>
        <w:rPr>
          <w:rFonts w:ascii="Times New Roman" w:hAnsi="Times New Roman"/>
          <w:b/>
          <w:i/>
          <w:sz w:val="20"/>
        </w:rPr>
        <w:t>Kevin Shiiba</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Shiiba has provided a personal guarantee of a commercial loan issued November 20, 2025 that was used to finance the acquisition of an operating subsidiary. As of March 31, 2026, the loan had a remaining principal amount of $8.5 million, bearing interest at SOFR + 3% per annum and maturing in 2030.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Board reviewed these guarantees, which were provided without additional Company consideration, in light of the Company’s financing strategy and the interests of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Voting Agreements </w:t>
      </w:r>
    </w:p>
    <w:p>
      <w:pPr>
        <w:pStyle w:val="TextBody"/>
        <w:bidi w:val="0"/>
        <w:spacing w:before="120" w:after="0"/>
        <w:jc w:val="left"/>
        <w:rPr>
          <w:rFonts w:ascii="Times New Roman" w:hAnsi="Times New Roman"/>
          <w:sz w:val="20"/>
        </w:rPr>
      </w:pPr>
      <w:r>
        <w:rPr>
          <w:rFonts w:ascii="Times New Roman" w:hAnsi="Times New Roman"/>
          <w:sz w:val="20"/>
        </w:rPr>
        <w:t>Contemporaneously with the execution and delivery of the Merger Agreement, Live Oak and Teamshares entered into Voting and Support Agreements (collectively, the “</w:t>
      </w:r>
      <w:r>
        <w:rPr>
          <w:rFonts w:ascii="Times New Roman" w:hAnsi="Times New Roman"/>
          <w:b/>
          <w:sz w:val="20"/>
        </w:rPr>
        <w:t>Voting Agreements</w:t>
      </w:r>
      <w:r>
        <w:rPr>
          <w:rFonts w:ascii="Times New Roman" w:hAnsi="Times New Roman"/>
          <w:sz w:val="20"/>
        </w:rPr>
        <w:t>”) with certain shareholders of Teamshares (the “</w:t>
      </w:r>
      <w:r>
        <w:rPr>
          <w:rFonts w:ascii="Times New Roman" w:hAnsi="Times New Roman"/>
          <w:b/>
          <w:sz w:val="20"/>
        </w:rPr>
        <w:t>Significant Company Holders</w:t>
      </w:r>
      <w:r>
        <w:rPr>
          <w:rFonts w:ascii="Times New Roman" w:hAnsi="Times New Roman"/>
          <w:sz w:val="20"/>
        </w:rPr>
        <w:t xml:space="preserve">”) holding sufficient voting power to approve the Mergers and the Business Combination, pursuant to which, among other things, the Significant Company Holders agreed to vote their shares of Teamshares stock in favor of the adoption of the Merger Agreement, the Ancillary Agreements and the approval of the Business Combination, subject to certain customary conditions. The Significant Company Holders also agreed to provide a proxy to Live Oak to vote such shares of Teamshares stock pursuant to the foregoing. Pursuant to the Voting Agreements, the Significant Company Holders also agreed to take certain other actions in support of the Merger Agreement and related transactions (and any actions required in furtherance thereof) and refrain from taking actions that would adversely affect such Significant Company Holders’ ability to perform their obligations under the Voting Agreements. Pursuant to the Voting Agreements, the Significant Company Holders also agreed not to transfer their shares of Teamshares stock during the period from and including the date of the Voting Agreement and the date on which the Voting Agreement is terminated. </w:t>
      </w:r>
    </w:p>
    <w:p>
      <w:pPr>
        <w:pStyle w:val="TextBody"/>
        <w:bidi w:val="0"/>
        <w:spacing w:before="360" w:after="0"/>
        <w:jc w:val="left"/>
        <w:rPr>
          <w:rFonts w:ascii="Times New Roman" w:hAnsi="Times New Roman"/>
          <w:b/>
          <w:sz w:val="20"/>
        </w:rPr>
      </w:pPr>
      <w:r>
        <w:rPr>
          <w:rFonts w:ascii="Times New Roman" w:hAnsi="Times New Roman"/>
          <w:b/>
          <w:sz w:val="20"/>
        </w:rPr>
        <w:t xml:space="preserve">Initial PIPE 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Initial PIPE Investment, each of Michael Brown, Alex Eu, Brian Gaebe, Madhuri Kommareddi and Kevin Shiiba, who serve as officers and/or directors of New Teamshares, entered into Initial PIPE Subscription Agreements with Live Oak, pursuant to which each agreed to purchase shares of Live Oak common stock. Specifically, Mr. Brown, who serves as Chief Executive Officer of New Teamshares, Mr. Eu, who serves as President of New Teamshares and Mr. Shiiba, serves as the Chief Technology Officer of New Teamshares, each agreed to purchase such securities for an aggregate purchase price of $250,000. Mr. Gaebe, who serves as Chief Financial Officer and Ms. Kommareddi, who serves as Chief Operating Officer, each agreed to purchase such securities for an aggregate purchase price of $125,000. The terms of such subscriptions are equivalent to the terms of the Subscription Agreements entered into by investors in the Initial PIPE Investment transaction that are not Teamshares Management PIPE Investors.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for Approval of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New Teamshares adopted a formal written policy effective upon the Closing providing that New Teamshares’ officers, directors, nominees for election as directors, beneficial owners of more than 5% of any class of the Company’s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New Teamshares without the approval of New Teamshares’ nominating and corporate governance committee, subject to certain exceptions.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Bylaws provide that the Company is required to indemnify our directors and officers to the fullest extent permitted by DGCL. In addition, the Charter provides that our directors will not be liable for monetary damages for breach of fiduciary duty to the fullest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There is no pending litigation or proceeding naming any of our directors or officers to which indemnification is being sought, and we are not aware of any pending or threatened litigation that may result in claims for indemnification by any director or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58823_18"/>
      <w:bookmarkEnd w:id="20"/>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summary of the material terms of our capital stock is not intended to be a complete summary of the rights and preferences of such securities. The full text of the Charter and Bylaws are included as exhibits to the registration statement of which this prospectus forms a part. You are encouraged to read the applicable provisions of Delaware law, the Charter, and the Bylaws in their entirety for a complete description of the rights and preferences of our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Charter authorizes the issuance of 500,000,000 shares, consisting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450,000,000 shares of Common Stock, par value $0.0001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50,000,000 shares of New Teamshares Preferred Stock, par value $0.0001 per share.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otherwise required by the Charter, the holders of shares of Common Stock shall vote together as a single class (or, if any holders of shares of Preferred Stock are entitled to vote together with the holders of Common Stock, as a single class with such holders of Preferred Stock) on all matters submitted to a vote of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b/>
          <w:i/>
          <w:sz w:val="20"/>
        </w:rPr>
        <w:t>Voting rights.</w:t>
      </w:r>
      <w:r>
        <w:rPr>
          <w:rFonts w:ascii="Times New Roman" w:hAnsi="Times New Roman"/>
          <w:sz w:val="20"/>
        </w:rPr>
        <w:t xml:space="preserve"> Each holder of record of Common Stock, as such, shall have one vote for each share of Common Stock that is outstanding and held by New Teamshares on all matters on which stockholders are entitled to vote generally. The holders of shares of Common Stock do not have cumulative voting rights. </w:t>
      </w:r>
    </w:p>
    <w:p>
      <w:pPr>
        <w:pStyle w:val="TextBody"/>
        <w:bidi w:val="0"/>
        <w:spacing w:before="240" w:after="0"/>
        <w:jc w:val="left"/>
        <w:rPr>
          <w:rFonts w:ascii="Times New Roman" w:hAnsi="Times New Roman"/>
          <w:sz w:val="20"/>
        </w:rPr>
      </w:pPr>
      <w:r>
        <w:rPr>
          <w:rFonts w:ascii="Times New Roman" w:hAnsi="Times New Roman"/>
          <w:b/>
          <w:i/>
          <w:sz w:val="20"/>
        </w:rPr>
        <w:t>Dividend rights.</w:t>
      </w:r>
      <w:r>
        <w:rPr>
          <w:rFonts w:ascii="Times New Roman" w:hAnsi="Times New Roman"/>
          <w:sz w:val="20"/>
        </w:rPr>
        <w:t xml:space="preserve"> Subject to applicable law and the rights, if any, of the holders of any outstanding series of New Teamshares Preferred Stock or any other class or series of stock, in each case having a preference over or the right to participate with Common Stock with respect to the payment of dividends and other distributions in cash, property or shares of stock of New Teamshares, dividends and other distributions may be declared and paid ratably on Common Stock out of the assets of New Teamshares that are legally available for this purpose at such times and in such amounts as New Teamshares Board, in its discretion, shall determine. </w:t>
      </w:r>
    </w:p>
    <w:p>
      <w:pPr>
        <w:pStyle w:val="TextBody"/>
        <w:bidi w:val="0"/>
        <w:spacing w:before="240" w:after="0"/>
        <w:jc w:val="left"/>
        <w:rPr>
          <w:rFonts w:ascii="Times New Roman" w:hAnsi="Times New Roman"/>
          <w:sz w:val="20"/>
        </w:rPr>
      </w:pPr>
      <w:r>
        <w:rPr>
          <w:rFonts w:ascii="Times New Roman" w:hAnsi="Times New Roman"/>
          <w:sz w:val="20"/>
        </w:rPr>
        <w:t xml:space="preserve">The payment of future dividends on the shares of Common Stock will depend on the financial condition of New Teamshares after the completion of the Business Combination, and subject to the discretion of New Teamshares Board. There can be no guarantee that cash dividends will be declared. The ability of New Teamshares to declare dividends may be limited by the terms and conditions of other financing and other agreements entered into by New Teamshares or any of its subsidiaries from time to time. </w:t>
      </w:r>
    </w:p>
    <w:p>
      <w:pPr>
        <w:pStyle w:val="TextBody"/>
        <w:bidi w:val="0"/>
        <w:spacing w:before="240" w:after="0"/>
        <w:jc w:val="left"/>
        <w:rPr>
          <w:rFonts w:ascii="Times New Roman" w:hAnsi="Times New Roman"/>
          <w:sz w:val="20"/>
        </w:rPr>
      </w:pPr>
      <w:r>
        <w:rPr>
          <w:rFonts w:ascii="Times New Roman" w:hAnsi="Times New Roman"/>
          <w:b/>
          <w:i/>
          <w:sz w:val="20"/>
        </w:rPr>
        <w:t>Rights upon liquidation.</w:t>
      </w:r>
      <w:r>
        <w:rPr>
          <w:rFonts w:ascii="Times New Roman" w:hAnsi="Times New Roman"/>
          <w:sz w:val="20"/>
        </w:rPr>
        <w:t xml:space="preserve"> In the event of dissolution, liquidation or winding up of New Teamshares, after payment or provision for payment of the debts and other liabilities of New Teamshares and subject to the rights, if any, of the holders of any outstanding series of New Teamshares Preferred Stock or any class or series of stock having a preference over or the right to participate with Common Stock with respect to the distribution of assets of New Teamshares upon such dissolution, liquidation or winding up of New Teamshares, the holders of Common Stock are entitled to receive the remaining assets of New Teamshares available for distribution to its stockholders ratably in proportion to the number of shares held by them. </w:t>
      </w:r>
    </w:p>
    <w:p>
      <w:pPr>
        <w:pStyle w:val="TextBody"/>
        <w:bidi w:val="0"/>
        <w:spacing w:before="240" w:after="0"/>
        <w:jc w:val="left"/>
        <w:rPr>
          <w:rFonts w:ascii="Times New Roman" w:hAnsi="Times New Roman"/>
          <w:sz w:val="20"/>
        </w:rPr>
      </w:pPr>
      <w:r>
        <w:rPr>
          <w:rFonts w:ascii="Times New Roman" w:hAnsi="Times New Roman"/>
          <w:b/>
          <w:i/>
          <w:sz w:val="20"/>
        </w:rPr>
        <w:t>Other rights.</w:t>
      </w:r>
      <w:r>
        <w:rPr>
          <w:rFonts w:ascii="Times New Roman" w:hAnsi="Times New Roman"/>
          <w:sz w:val="20"/>
        </w:rPr>
        <w:t xml:space="preserve"> The holders of Common Stock have no pre-emptive or conversion rights or other subscription rights. There are no redemption or sinking fund provisions applicable to Common Stock. The rights, preferences and privileges of holders of Common Stock will be subject to those of the holders of any shares of New Teamshares Preferred Stock that New Teamshares may issue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New Teamshares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authorizes New Teamshares Board to establish one or more series of New Teamshares Preferred Stock. Unless required by law or any stock exchange, the authorized shares of New Teamshares Preferred Stock are available for issuance without further action by the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New Teamshares Board has the discretion to determine the powers, preferences and relative, participating, optional and other special rights, including voting rights, dividend rights, conversion rights, redemption privileges and liquidation preferences, of each series of New Teamshares Preferred Stock. The issuance of New Teamshares Preferred Stock may have the effect of delaying, deferring or preventing a change in control of New Teamshares without further action by the stockholders. Additionally, the issuance of New Teamshares Preferred Stock may adversely affect the holders of Common Stock by restricting dividends on Common Stock, diluting the voting power of Common Stock or subordinating the liquidation rights of Common Stock. As a result of these or other factors, the issuance of New Teamshares Preferred Stock could have an adverse impact on the market price of Common Stock. </w:t>
      </w:r>
    </w:p>
    <w:p>
      <w:pPr>
        <w:pStyle w:val="TextBody"/>
        <w:bidi w:val="0"/>
        <w:spacing w:before="360" w:after="0"/>
        <w:jc w:val="left"/>
        <w:rPr>
          <w:rFonts w:ascii="Times New Roman" w:hAnsi="Times New Roman"/>
          <w:sz w:val="20"/>
        </w:rPr>
      </w:pPr>
      <w:r>
        <w:rPr>
          <w:rFonts w:ascii="Times New Roman" w:hAnsi="Times New Roman"/>
          <w:b/>
          <w:sz w:val="20"/>
        </w:rPr>
        <w:t>Warrants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and upon the effective time of the Domestication, amongst other things (a) each Live Oak warrant was automatically converted into a redeemable Warrant on the same terms as the Live Oak warrants, and (b) each unit of Live Oak (the “Live Oak unit”) issued and outstanding as of immediately prior to the Domestication was automatically canceled and each holder received one share of Common Stock and one-half of one Warrant. No fractional Warrants were issued upon separation of the Live Oak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Public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whole warrant entitles the registered holder to purchase one share of Common Stock at a price of $11.50 per share, subject to adjustment as discussed below, at any time, provided that we have an effective registration statement under the Securities Act covering the shares of Common Stock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Common Stock. This means only a whole warrant may be exercised at a given time by a warrant holder. No fractional warrants will be issued upon separation of the units and only whole warrants will trade. The warrants will expire five years after the completion of our initial business combination, at 5:00 p.m., New York City time,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obligated to deliver any shares of Common Stock pursuant to the exercise of a warrant and will have no obligation to settle such warrant exercise unless a registration statement under the Securities Act with respect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the shares of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Redemption of warrants when the price per share of Common Stock equals or exceeds $18.00 </w:t>
      </w:r>
    </w:p>
    <w:p>
      <w:pPr>
        <w:pStyle w:val="TextBody"/>
        <w:bidi w:val="0"/>
        <w:spacing w:before="120" w:after="0"/>
        <w:jc w:val="left"/>
        <w:rPr>
          <w:rFonts w:ascii="Times New Roman" w:hAnsi="Times New Roman"/>
          <w:sz w:val="20"/>
        </w:rPr>
      </w:pPr>
      <w:r>
        <w:rPr>
          <w:rFonts w:ascii="Times New Roman" w:hAnsi="Times New Roman"/>
          <w:sz w:val="20"/>
        </w:rPr>
        <w:t xml:space="preserve">Once the warrants become exercisable, we may redeem the outstanding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price of $0.01 per warrant; upon a minimum of 30 days’ prior written notice of redemption (the “30-day redemption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closing price of the share of Common Stock equals or exceeds $18.00 per share (as adjusted for stock splits, stock capitalizations, reorganizations, recapitalizations and the like) for any 20 trading days within a 30-trading day period commencing at least 30 days after completion of our initial business combination and ending three business days before we send the notice of redemption to the warrant 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not redeem the warrants as described above unless a registration statement under the Securities Act covering the issuance of the shares of Common Stock issuable upon exercise of the warrants is then effective and a current prospectus relating to those shares of Common Stock is available throughout the measurement period.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 sky laws of the state of residence in those states in which the warrants were offered by us in this offering. 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shares of Common Stock may fall below the $18.00 redemption trigger price (as adjusted for share sub-divisions, share capitalizations, reorganizations, recapitalizations and the like) as well as the $11.50 warrant exercise price after the redemption notice is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procedures </w:t>
      </w:r>
    </w:p>
    <w:p>
      <w:pPr>
        <w:pStyle w:val="TextBody"/>
        <w:bidi w:val="0"/>
        <w:spacing w:before="120" w:after="0"/>
        <w:jc w:val="left"/>
        <w:rPr>
          <w:rFonts w:ascii="Times New Roman" w:hAnsi="Times New Roman"/>
          <w:sz w:val="20"/>
        </w:rPr>
      </w:pPr>
      <w:r>
        <w:rPr>
          <w:rFonts w:ascii="Times New Roman" w:hAnsi="Times New Roman"/>
          <w:sz w:val="20"/>
        </w:rPr>
        <w:t xml:space="preserve">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Common Stock outstanding immediately after giving effect to such exercise.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Anti-dilution Adjustments </w:t>
      </w:r>
    </w:p>
    <w:p>
      <w:pPr>
        <w:pStyle w:val="TextBody"/>
        <w:bidi w:val="0"/>
        <w:spacing w:before="120" w:after="0"/>
        <w:jc w:val="left"/>
        <w:rPr>
          <w:rFonts w:ascii="Times New Roman" w:hAnsi="Times New Roman"/>
          <w:sz w:val="20"/>
        </w:rPr>
      </w:pPr>
      <w:r>
        <w:rPr>
          <w:rFonts w:ascii="Times New Roman" w:hAnsi="Times New Roman"/>
          <w:sz w:val="20"/>
        </w:rPr>
        <w:t xml:space="preserve">If the number of outstanding shares of Common Stock is increased by a share capitalization payable in shares of Common Stock, or by a sub-division of shares of Common Stock or other similar event, then, on the effective date of such share capitalization, sub-division or similar event, the number of shares of Common Stock issuable on exercise of each warrant will be increased in proportion to such increase in the outstanding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A rights offering made to all or substantially all holders of shares of Common Stock entitling holders to purchase shares of Common Stock at a price less than the fair market value will be deemed a share capitalization of a number of shares of Common Stock equal to the product of (i) the number of shares of Common Stock actually sold in such rights offering (or issuable under any other equity securities sold in such rights offering that are convertible into or exercisable for shares of Common Stock) and (ii) the quotient of (x) the price per shares of Common Stock paid in such rights offering and (y) the fair market value. For these purposes (i) if the rights offering is for securities convertible into or exercisable for shares of Common Stock, in determining the price payable for shares of Common Stock, there will be taken into account any consideration received for such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well as any additional amount payable upon exercise or conversion and (ii) fair market value means the volume weighted average price of shares of Common Stock as reported during the ten (10) trading day period ending on the trading day prior to the first date on which the shares of Common Stock trade on the applicable exchange or in the applicable market, regular way, without the right to receive such rights.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we, at any time while the warrants are outstanding and unexpired, pay a dividend or make a distribution in cash, securities or other assets to all or substantially all the holders of shares of Common Stock on account of such shares of Common Stock (or other securities into which the warrants are convertible), other than (a) as described above, (b) certain ordinary cash dividends, (c) to satisfy the redemption rights of the holders of shares of Common Stock in connection with a proposed initial business combination, or (d)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Common Stock in respect of such event.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outstanding shares of Common Stock is decreased by a consolidation, combination, reverse share sub-division or reclassification of shares of Common Stock or other similar event, then, on the effective date of such consolidation, combination, reverse share sub-division, reclassification or similar event, the number of shares of Common Stock issuable on exercise of each warrant will be decreased in proportion to such decrease in outstanding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 </w:t>
      </w:r>
    </w:p>
    <w:p>
      <w:pPr>
        <w:pStyle w:val="TextBody"/>
        <w:bidi w:val="0"/>
        <w:spacing w:before="240" w:after="0"/>
        <w:jc w:val="left"/>
        <w:rPr>
          <w:rFonts w:ascii="Times New Roman" w:hAnsi="Times New Roman"/>
          <w:sz w:val="20"/>
        </w:rPr>
      </w:pPr>
      <w:r>
        <w:rPr>
          <w:rFonts w:ascii="Times New Roman" w:hAnsi="Times New Roman"/>
          <w:sz w:val="20"/>
        </w:rPr>
        <w:t>In addition, if (x) we issue additional shares of Common Stock or equity-linked securities for capital raising purposes in connection with the closing of our initial business combination at a Newly Issued Price of less than $9.20 per share of Common Stock, (y) the aggregate gross proceeds from such issuances represent more than 60% of the total equity proceeds (including from such issuances and this offering), and interest thereon, available for the funding of our initial business combination on the date of the consummation of our initial business combination (net of redemptions), and (z) the Market Value of our shares of Common Stock is below $9.20 per share, then the exercise price of the warrants will be adjusted (to the nearest cent) to be equal to 115% of the higher of the Market Value and the Newly Issued Price, and the $18.00 per share redemption trigger prices described above under “</w:t>
      </w:r>
      <w:r>
        <w:rPr>
          <w:rFonts w:ascii="Times New Roman" w:hAnsi="Times New Roman"/>
          <w:i/>
          <w:sz w:val="20"/>
        </w:rPr>
        <w:t>Description of Securities — Warrants — Public Warrants — Redemption of warrants when the price per share of Common Stock equals or exceeds $18.00</w:t>
      </w:r>
      <w:r>
        <w:rPr>
          <w:rFonts w:ascii="Times New Roman" w:hAnsi="Times New Roman"/>
          <w:sz w:val="20"/>
        </w:rPr>
        <w:t xml:space="preserve">” will be adjusted (to the nearest cent) to be equal to 180% of the higher of the Market Value and the Newly Issued Price. </w:t>
      </w:r>
    </w:p>
    <w:p>
      <w:pPr>
        <w:pStyle w:val="TextBody"/>
        <w:bidi w:val="0"/>
        <w:spacing w:before="240" w:after="0"/>
        <w:jc w:val="left"/>
        <w:rPr>
          <w:rFonts w:ascii="Times New Roman" w:hAnsi="Times New Roman"/>
          <w:sz w:val="20"/>
        </w:rPr>
      </w:pPr>
      <w:r>
        <w:rPr>
          <w:rFonts w:ascii="Times New Roman" w:hAnsi="Times New Roman"/>
          <w:sz w:val="20"/>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Common Stock immediately theretofore purchasable and receivable upon the exercise of the rights represented thereby, the kind and amount of shares of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(the “</w:t>
      </w:r>
      <w:r>
        <w:rPr>
          <w:rFonts w:ascii="Times New Roman" w:hAnsi="Times New Roman"/>
          <w:b/>
          <w:sz w:val="20"/>
        </w:rPr>
        <w:t>Alternative Issuance</w:t>
      </w:r>
      <w:r>
        <w:rPr>
          <w:rFonts w:ascii="Times New Roman" w:hAnsi="Times New Roman"/>
          <w:sz w:val="20"/>
        </w:rPr>
        <w:t xml:space="preserve">”). If less than 70% of the consideration receivable by the holders of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in such a transaction is payable in the form of securities in the successor entity that are listed for trading on a national securities exchange or quoted in an established over-the-counter market, or are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warrants will be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to correct any defective provision or mistake, including to conform the provisions of the warrant agreement to the description of the terms of the warrants and the warrant agreement set forth in this prospectus, (ii) adjusting the provisions relating to cash dividends on shares of Common Stock as contemplated by and in accordance with the warrant agreement,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or (iv) to provide for the delivery of the Alternative Issuance. All other modifications or amendments require the vote or written consent the holders of at least 50% of the then-outstanding public warrants, except that amending our warrant agreement will require a vote of holders of at least 50% of the private placement warrants or working capital warrants solely with respect to any amendment to the terms of the private placement warrants or working capital warrants (including, for the avoidance of doubt, the forfeiture of cancellation of any warrants). You should review a copy of the warrant agreement, which will be filed as an exhibit to the registration statement of which this prospectus is a part, for a complete description of the terms and conditions applicable to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shareholders.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subject to applicable law, any action, proceeding or claim against us arising out of or relating in any way to the warrant agreement will be brought and enforced in the courts of the State of New York located in the County of New York or the United States District Court for the Southern District of New York, and we irrevocably submit to such jurisdiction, which jurisdiction will be the exclusive forum for any such action, proceeding or claim. See “Risk Factors—Our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 </w:t>
      </w:r>
    </w:p>
    <w:p>
      <w:pPr>
        <w:pStyle w:val="TextBody"/>
        <w:bidi w:val="0"/>
        <w:spacing w:before="360" w:after="0"/>
        <w:jc w:val="left"/>
        <w:rPr>
          <w:rFonts w:ascii="Times New Roman" w:hAnsi="Times New Roman"/>
          <w:sz w:val="20"/>
        </w:rPr>
      </w:pPr>
      <w:r>
        <w:rPr>
          <w:rFonts w:ascii="Times New Roman" w:hAnsi="Times New Roman"/>
          <w:b/>
          <w:sz w:val="20"/>
        </w:rPr>
        <w:t>Private Warrants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Warrants received upon conversion of the Private Warrants (including the shares of Common Stock issuable upon exercise of such Warrants) will not be transferable, assignable or saleable until 30 days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Closing Date (except, among other limited exceptions, to Live Oak’s officers and directors and other persons or entities affiliated with the Sponsor). Except as described herein, the Warrants received upon conversion of the Private Warrants have terms and provisions that are identical to those of the Warrants received upon conversion of the Public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the Charter, the Bylaws and Certain Provisions of Delaware Law </w:t>
      </w:r>
    </w:p>
    <w:p>
      <w:pPr>
        <w:pStyle w:val="TextBody"/>
        <w:bidi w:val="0"/>
        <w:spacing w:before="120" w:after="0"/>
        <w:jc w:val="left"/>
        <w:rPr>
          <w:rFonts w:ascii="Times New Roman" w:hAnsi="Times New Roman"/>
          <w:sz w:val="20"/>
        </w:rPr>
      </w:pPr>
      <w:r>
        <w:rPr>
          <w:rFonts w:ascii="Times New Roman" w:hAnsi="Times New Roman"/>
          <w:sz w:val="20"/>
        </w:rPr>
        <w:t xml:space="preserve">The Charter does not provide for cumulative voting in the election of directors. New Teamshares Board is empowered to elect a director to fill a vacancy created by the expansion of New Teamshares Board or the resignation, death, or removal of a director in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Authorized Common Stock and New Teamshares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New Teamshares Preferred Stock could render more difficult or discourage an attempt to obtain control of us by means of a proxy contest, tender offer, merger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Forum Provision </w:t>
      </w:r>
    </w:p>
    <w:p>
      <w:pPr>
        <w:pStyle w:val="TextBody"/>
        <w:bidi w:val="0"/>
        <w:spacing w:before="120" w:after="0"/>
        <w:jc w:val="left"/>
        <w:rPr>
          <w:rFonts w:ascii="Times New Roman" w:hAnsi="Times New Roman"/>
          <w:sz w:val="20"/>
        </w:rPr>
      </w:pPr>
      <w:r>
        <w:rPr>
          <w:rFonts w:ascii="Times New Roman" w:hAnsi="Times New Roman"/>
          <w:sz w:val="20"/>
        </w:rPr>
        <w:t>The Charter provides that, unless New Teamshares consents in writing to the selection of an alternative forum, (a) the Chancery Court (or, in the event that the Chancery Court does not have jurisdiction, the federal district court for the District of Delaware or other state courts of the State of Delaware) will be the sole and exclusive forum for (1) any derivative action, suit or proceeding brought on behalf of New Teamshares, (2) any action, suit or proceeding asserting a claim of breach of a fiduciary duty owed by any director or officer of New Teamshares to New Teamshares or to New Teamshares’ stockholders, (3) any action, suit or proceeding arising pursuant to any provision of the DGCL or Charter or the Bylaws (as either may be amended from time to time) or (4) any action, suit or proceeding asserting a claim against New Teamshares governed by the internal affairs doctrine; and (b) subject to the provisions of the Charter, the federal district courts of the United States of America is the exclusive forum for the resolution of any complaint asserting a cause or causes of action arising under the Securities Act,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Times New Roman" w:hAnsi="Times New Roman"/>
          <w:b/>
          <w:sz w:val="20"/>
        </w:rPr>
        <w:t>Foreign Action</w:t>
      </w:r>
      <w:r>
        <w:rPr>
          <w:rFonts w:ascii="Times New Roman" w:hAnsi="Times New Roman"/>
          <w:sz w:val="20"/>
        </w:rPr>
        <w:t xml:space="preserve">”)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 </w:t>
      </w:r>
    </w:p>
    <w:p>
      <w:pPr>
        <w:pStyle w:val="TextBody"/>
        <w:bidi w:val="0"/>
        <w:spacing w:before="240" w:after="0"/>
        <w:jc w:val="left"/>
        <w:rPr>
          <w:rFonts w:ascii="Times New Roman" w:hAnsi="Times New Roman"/>
          <w:sz w:val="20"/>
        </w:rPr>
      </w:pPr>
      <w:r>
        <w:rPr>
          <w:rFonts w:ascii="Times New Roman" w:hAnsi="Times New Roman"/>
          <w:sz w:val="20"/>
        </w:rPr>
        <w:t xml:space="preserve">Although New Teamshares believes this provision benefits New Teamshares by providing increased consistency in the application of Delaware law in the types of lawsuits to which it applies, a court may determine that this provision is unenforceable, and to the extent it is enforceable, the provision may have the effect of discouraging lawsuits against New Teamshares’ directors and officers, although New Teamshares’ stockholders will not be deemed to have waived New Teamshares’ compliance with federal securities laws and the rules and regulations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Charter and the Bylaws provide that New Teamshares will indemnify and hold harmless its directors, to the fullest extent permitted by the DGCL as it presently exists or may hereafter be amended. In addition, the Charter provides that New Teamshares’ directors will not be personally liable to New Teamshares or its stockholders for monetary damages for any breach of fiduciary duty as a director, except to the extent such exemption from liability or limitation thereof is not permitted under the DGCL as the same exists or hereafter may be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Bylaws also permit New Teamshares to purchase and maintain insurance on behalf of any person who is or was a director officer, employee or agent of New Teamshares, or is or was serving at the request of New Teamshares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New Teamshares could have the power to indemnify him or her against such liability under the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may discourage stockholders from bringing a lawsuit against New Teamshares’ directors for breach of their fiduciary duty. These provisions also may have the effect of reducing the likelihood of derivative litigation against officers and directors, even though such an action, if successful, might otherwise benefit New Teamshares and New Teamshares’ stockholders. Furthermore, a stockholder’s investment may be adversely affected to the extent pay the costs of settlement and damage awards against officers and directors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New Teamshares believes that these provisions, the directors’ and officers’ liability insurance and the indemnity agreements are necessary to attract and retain talented and experienced officers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New Teamshares’ directors, officers and controlling persons pursuant to the foregoing provisions, or otherwise, we have been advised that, in the opinion of the SEC, such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There is currently no pending material litigation or proceeding involving any of Live Oak’s directors, officers or employees for which indemnification is sought.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Derivative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the shares of our Common Stock is Continental Stock Transfer &amp; Trust Company. </w:t>
      </w:r>
    </w:p>
    <w:p>
      <w:pPr>
        <w:pStyle w:val="TextBody"/>
        <w:bidi w:val="0"/>
        <w:spacing w:before="360" w:after="0"/>
        <w:jc w:val="left"/>
        <w:rPr>
          <w:rFonts w:ascii="Times New Roman" w:hAnsi="Times New Roman"/>
          <w:b/>
          <w:sz w:val="20"/>
        </w:rPr>
      </w:pPr>
      <w:r>
        <w:rPr>
          <w:rFonts w:ascii="Times New Roman" w:hAnsi="Times New Roman"/>
          <w:b/>
          <w:sz w:val="20"/>
        </w:rPr>
        <w:t xml:space="preserve">Trading Symbol and Market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and Warrants are listed on the Nasdaq under the symbols “TMS” and “TMSWW,”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58823_19"/>
      <w:bookmarkEnd w:id="21"/>
      <w:r>
        <w:rPr>
          <w:rFonts w:ascii="Times New Roman" w:hAnsi="Times New Roman"/>
          <w:b/>
          <w:sz w:val="20"/>
        </w:rPr>
        <w:t xml:space="preserve">SHARES ELIGIBLE FOR FUTURE SALE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effect, if any, future sales of shares of Common Stock, or the availability for future sale of shares of Common Stock, will have on the market price of shares of our Common Stock prevailing from time to time. The sale of substantial amounts of shares of our Common Stock in the public market, or the perception that such sales could occur, could harm the prevailing market price of shares of our Common Stock and could impair our future ability to raise capital through the sale of our equity or equity-related securities at a time and price that we deem appropriate. </w:t>
      </w:r>
    </w:p>
    <w:p>
      <w:pPr>
        <w:pStyle w:val="TextBody"/>
        <w:bidi w:val="0"/>
        <w:spacing w:before="240" w:after="0"/>
        <w:jc w:val="left"/>
        <w:rPr>
          <w:rFonts w:ascii="Times New Roman" w:hAnsi="Times New Roman"/>
          <w:sz w:val="20"/>
        </w:rPr>
      </w:pPr>
      <w:r>
        <w:rPr>
          <w:rFonts w:ascii="Times New Roman" w:hAnsi="Times New Roman"/>
          <w:sz w:val="20"/>
        </w:rPr>
        <w:t>Prior to the issuance and resale of the securities offered by this prospectus, we have a total of 73,660,538 shares of our Common Stock outstanding. Of these shares, all of the shares sold in Live Oak’s initial public offering (totaling 4,561,341 shares of our Common Stock) are freely tradable without restriction or further registration under the Securities Act by persons other than our “affiliates.” Under the Securities Act, an “affiliate” of an issuer is a person that directly or indirectly controls, is controlled by, or is under common control with that issuer. The remaining shares of our Common Stock are “restricted securities,” as defined in Rule 144 under the Securities Act (“</w:t>
      </w:r>
      <w:r>
        <w:rPr>
          <w:rFonts w:ascii="Times New Roman" w:hAnsi="Times New Roman"/>
          <w:b/>
          <w:sz w:val="20"/>
        </w:rPr>
        <w:t>Rule 144</w:t>
      </w:r>
      <w:r>
        <w:rPr>
          <w:rFonts w:ascii="Times New Roman" w:hAnsi="Times New Roman"/>
          <w:sz w:val="20"/>
        </w:rPr>
        <w:t xml:space="preserve">”), and may not be sold absent registration under the Securities Act or compliance with Rule 144 thereunder or in reliance on another exemption from registration. </w:t>
      </w:r>
    </w:p>
    <w:p>
      <w:pPr>
        <w:pStyle w:val="TextBody"/>
        <w:bidi w:val="0"/>
        <w:spacing w:before="360" w:after="0"/>
        <w:jc w:val="left"/>
        <w:rPr>
          <w:rFonts w:ascii="Times New Roman" w:hAnsi="Times New Roman"/>
          <w:b/>
          <w:sz w:val="20"/>
        </w:rPr>
      </w:pPr>
      <w:r>
        <w:rPr>
          <w:rFonts w:ascii="Times New Roman" w:hAnsi="Times New Roman"/>
          <w:b/>
          <w:sz w:val="20"/>
        </w:rPr>
        <w:t xml:space="preserve">Equity Plans </w:t>
      </w:r>
    </w:p>
    <w:p>
      <w:pPr>
        <w:pStyle w:val="TextBody"/>
        <w:bidi w:val="0"/>
        <w:spacing w:before="120" w:after="0"/>
        <w:jc w:val="left"/>
        <w:rPr>
          <w:rFonts w:ascii="Times New Roman" w:hAnsi="Times New Roman"/>
          <w:sz w:val="20"/>
        </w:rPr>
      </w:pPr>
      <w:r>
        <w:rPr>
          <w:rFonts w:ascii="Times New Roman" w:hAnsi="Times New Roman"/>
          <w:sz w:val="20"/>
        </w:rPr>
        <w:t xml:space="preserve">We expect to file a registration statement on Form S-8 under the Securities Act to register the offer and sale of all shares of our Common Stock, and any securities convertible into or exchangeable for shares of our Common Stock, that are issuable under the Incentive Plan or the ESPP. The shares of our Common Stock registered under such registration statement will be available for resale by nonaffiliates in the public market without restriction under the Securities Act and by affiliates in the public market subject to compliance with the resale provisions of Rule 144.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New Teamshares, the Sponsor, the Teamshares Stockholders, the PIPE Investors and other parties thereto entered into the Registration Rights Agreement, as amended, pursuant to which, among other things, the Sponsor, the Teamshares Stockholders, the PIPE Investors and other parties thereto were granted certain customary registration rights, on the terms and subject to the conditions therein, with respect to securities of New Teamshares that they hold. </w:t>
      </w:r>
    </w:p>
    <w:p>
      <w:pPr>
        <w:pStyle w:val="TextBody"/>
        <w:bidi w:val="0"/>
        <w:spacing w:before="240" w:after="0"/>
        <w:jc w:val="left"/>
        <w:rPr>
          <w:rFonts w:ascii="Times New Roman" w:hAnsi="Times New Roman"/>
          <w:sz w:val="20"/>
        </w:rPr>
      </w:pPr>
      <w:r>
        <w:rPr>
          <w:rFonts w:ascii="Times New Roman" w:hAnsi="Times New Roman"/>
          <w:sz w:val="20"/>
        </w:rPr>
        <w:t xml:space="preserve">The shares covered by registration rights under the Registration Rights Agreement would represent approximately   % of our outstanding Common Stock. These shares also may be sold under Rule 144 under the Securities Act, depending on their holding period and subject to restrictions in the case of shares held by persons deemed to be our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Sponsor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the Sponsor and Teamshares entered into the Sponsor Lock-Up Agreement, pursuant to which the Sponsor and its permitted assigns agree, (x) with respect to the Sponsor Lock-Up Founder Shares, prior to the date that is six months after the Closing Date, or (y) with respect to the Sponsor Lock-Up Unit Shares, prior to the date that is 90 days after the Closing Date, not to, without the prior written consent of New Teamshares Board, (i) sell, pledge, grant any option to purchase or otherwise dispose of (a), (ii) enter into any swap or other transfer arrangement in respect of the Sponsor Lock-Up Shares or (iii) take any action in furtherance of any of the matters described in the foregoing clauses (i) or (ii). The Sponsor Lock-Up Agreement provides for certain permitted transfers, including but not limited to, transfers to certain affiliates or family members, transfers of shares acquired on the open market after the consummation of the Business Combination, subject to certain conditions, or the exercise of certain stock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Teamshares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New Teamshares and the Lock-Up Holders entered into the Teamshares Lock-Up Agreement, pursuant to which the Lock-Up Holders agreed not to, without the prior written consent of New Teamshares Board, prior to the date that is six months after the Closing (i) sell, pledge, grant any option to purchase or otherwise dispose of the Lock-Up Shares, (ii) enter into any swap or other transfer arrangement in respect of any Lock-Up Shares or (iii) take any action in furtherance of any of the matters described in the foregoing clauses (i) or (ii). The Teamshares Lock-Up Agreement provides for certain permitted transfers, including but not limited to, transfers to certain affiliates or family members, transfers of shares acquired on the open market after the consummation of the Business Combination, subject to certain conditions, or the exercise of certain stock options.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Company Holder Lock-Up </w:t>
      </w:r>
    </w:p>
    <w:p>
      <w:pPr>
        <w:pStyle w:val="TextBody"/>
        <w:bidi w:val="0"/>
        <w:spacing w:before="120" w:after="0"/>
        <w:jc w:val="left"/>
        <w:rPr>
          <w:rFonts w:ascii="Times New Roman" w:hAnsi="Times New Roman"/>
          <w:sz w:val="20"/>
        </w:rPr>
      </w:pPr>
      <w:r>
        <w:rPr>
          <w:rFonts w:ascii="Times New Roman" w:hAnsi="Times New Roman"/>
          <w:sz w:val="20"/>
        </w:rPr>
        <w:t xml:space="preserve">Contemporaneously with the execution and delivery of the Merger Agreement and in connection with the consummation of the Transactions and as contemplated by the Merger Agreement, Live Oak and certain equity holders of Legacy Teamshares entered into lock-up agreements, pursuant to which such holders agreed not to, among other things, sell, pledge, grant any option to purchase or otherwise dispose of their shares of Common Stock for a specified period following the Closing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Management Lock-Up </w:t>
      </w:r>
    </w:p>
    <w:p>
      <w:pPr>
        <w:pStyle w:val="TextBody"/>
        <w:bidi w:val="0"/>
        <w:spacing w:before="120" w:after="0"/>
        <w:jc w:val="left"/>
        <w:rPr>
          <w:rFonts w:ascii="Times New Roman" w:hAnsi="Times New Roman"/>
          <w:sz w:val="20"/>
        </w:rPr>
      </w:pPr>
      <w:r>
        <w:rPr>
          <w:rFonts w:ascii="Times New Roman" w:hAnsi="Times New Roman"/>
          <w:sz w:val="20"/>
        </w:rPr>
        <w:t xml:space="preserve">Contemporaneously with the execution and delivery of the Merger Agreement and in connection with the consummation of the Transactions, Live Oak and each member of the Legacy Teamshares’ management entered into lock-up agreements, pursuant to which such holders agreed to certain transfer restrictions with respect to their shares of Common Stock for a specified period following the Closing Date. </w:t>
      </w:r>
    </w:p>
    <w:p>
      <w:pPr>
        <w:pStyle w:val="TextBody"/>
        <w:bidi w:val="0"/>
        <w:spacing w:before="36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144, a person who has beneficially owned restricted shares of our Common Stock or our Warrants for at least six months would be entitled to sell their securities provided that (i) such person is not deemed to have been our affiliate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w:t>
      </w:r>
    </w:p>
    <w:p>
      <w:pPr>
        <w:pStyle w:val="TextBody"/>
        <w:bidi w:val="0"/>
        <w:spacing w:before="240" w:after="0"/>
        <w:jc w:val="left"/>
        <w:rPr>
          <w:rFonts w:ascii="Times New Roman" w:hAnsi="Times New Roman"/>
          <w:sz w:val="20"/>
        </w:rPr>
      </w:pPr>
      <w:r>
        <w:rPr>
          <w:rFonts w:ascii="Times New Roman" w:hAnsi="Times New Roman"/>
          <w:sz w:val="20"/>
        </w:rPr>
        <w:t xml:space="preserve">Persons who have beneficially owned restricted shares of our Common Stock or our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of the total number of shares of our Common Stock then outstanding (as of the date of this prospectus, the Company 73,660,538 shares of Common Stock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reported trading volume of our Common Stock during the four calendar weeks preceding the filing of a notice on Form 144 with respect to the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by our affiliates under Rule 144 are also limited by manner of sale provisions and notice requirements and to the availability of current public information about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Restrictions on the Use of Rule 144 by Shell Companies or Former Shell Companies </w:t>
      </w:r>
    </w:p>
    <w:p>
      <w:pPr>
        <w:pStyle w:val="TextBody"/>
        <w:bidi w:val="0"/>
        <w:spacing w:before="120" w:after="0"/>
        <w:jc w:val="left"/>
        <w:rPr>
          <w:rFonts w:ascii="Times New Roman" w:hAnsi="Times New Roman"/>
          <w:sz w:val="20"/>
        </w:rPr>
      </w:pPr>
      <w:r>
        <w:rPr>
          <w:rFonts w:ascii="Times New Roman" w:hAnsi="Times New Roman"/>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that was formerly a shell company has ceased to be a shell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is subject to the reporting requirements of Section 13 or 15(d)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has filed all Exchange Act reports and material required to be filed, as applicable, during the preceding 12 months (or such shorter period that the issuer was required to file such reports and materials), other than Form 8-K reports;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one year has elapsed from the time that the issuer filed current Form 10 type information with the SEC reflecting its status as an entity that is not a shell company (which, in our case, is likely to occur one year after the filing of the “Super” Form 8-K related to the Business Combination, filed on June 25,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the Sponsor will be able to sell its Common Stock, pursuant to Rule 144 without registration one year after the filing of the “Super” Form 8-K. Absent registration under the Securities Act, other stockholders, including securityholders who received restricted securities in the Business Combination will not be permitted to sell their restricted securities under Rule 144 earlier than one year after the filing of the “Super” Form 8-K.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consummation of the Business Combination, the Company is no longer a shell company, and so, once the conditions set forth in the exceptions listed above are satisfied, Rule 144 will become available for the resale of the above noted restricted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58823_20"/>
      <w:bookmarkEnd w:id="22"/>
      <w:r>
        <w:rPr>
          <w:rFonts w:ascii="Times New Roman" w:hAnsi="Times New Roman"/>
          <w:b/>
          <w:sz w:val="20"/>
        </w:rPr>
        <w:t xml:space="preserve">MATERIAL U.S. FEDERAL INCOME TAX CONSEQUENCES FOR HOLDERS OF COMMON STOCK AND WARRANTS </w:t>
      </w:r>
    </w:p>
    <w:p>
      <w:pPr>
        <w:pStyle w:val="TextBody"/>
        <w:bidi w:val="0"/>
        <w:spacing w:before="240" w:after="0"/>
        <w:jc w:val="left"/>
        <w:rPr>
          <w:rFonts w:ascii="Times New Roman" w:hAnsi="Times New Roman"/>
          <w:sz w:val="20"/>
        </w:rPr>
      </w:pPr>
      <w:r>
        <w:rPr>
          <w:rFonts w:ascii="Times New Roman" w:hAnsi="Times New Roman"/>
          <w:sz w:val="20"/>
        </w:rPr>
        <w:t>The following discussion is a summary of the material U.S. federal income tax consequences to U.S. Holders and Non-U.S. Holders (each as defined below) relating to the purchase, ownership and disposition of our Common Stock and Warrants, which we collectively refer to in this discussion as our “securities,”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(the “</w:t>
      </w:r>
      <w:r>
        <w:rPr>
          <w:rFonts w:ascii="Times New Roman" w:hAnsi="Times New Roman"/>
          <w:b/>
          <w:sz w:val="20"/>
        </w:rPr>
        <w:t>IRS</w:t>
      </w:r>
      <w:r>
        <w:rPr>
          <w:rFonts w:ascii="Times New Roman" w:hAnsi="Times New Roman"/>
          <w:sz w:val="20"/>
        </w:rPr>
        <w:t xml:space="preserve">”), in each case in effect as of the date hereof. These authorities may change or be subject to differing interpretations. Any such change or differing interpretation may be applied retroactively in a manner that could adversely affect a holder of our securities.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holders of our securities that hold our securities as a “capital asset”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and the alternative minimum tax. In addition, it does not address consequences relevant to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securities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“foreign 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securities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our securities being taken into account in an “applicable financial statement” (as defined in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securities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other arrangement) classified as a partnership for U.S. federal income tax purposes holds our securities, the tax treatment of a partner in the partnership will depend on the status of the partner, the activities of the partnership, and certain determinations made at the partner level. Accordingly, partnerships holding our securities and the partners in such partnerships should consult their tax advisors regarding the U.S. federal income tax consequences to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SECURITIES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“U.S. Holder” is any beneficial owner of our securities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i/>
          <w:sz w:val="20"/>
        </w:rPr>
        <w:t>Taxation of Distributions.  </w:t>
      </w:r>
      <w:r>
        <w:rPr>
          <w:rFonts w:ascii="Times New Roman" w:hAnsi="Times New Roman"/>
          <w:sz w:val="20"/>
        </w:rPr>
        <w:t>As described in the section entitled “</w:t>
      </w:r>
      <w:r>
        <w:rPr>
          <w:rFonts w:ascii="Times New Roman" w:hAnsi="Times New Roman"/>
          <w:i/>
          <w:sz w:val="20"/>
        </w:rPr>
        <w:t>Dividend Policy</w:t>
      </w:r>
      <w:r>
        <w:rPr>
          <w:rFonts w:ascii="Times New Roman" w:hAnsi="Times New Roman"/>
          <w:sz w:val="20"/>
        </w:rPr>
        <w:t>,” we have no current plans to pay dividends on our Common Stock. If we do, however, make distributions, the gross amount of distributions made with respect to the Common Stock generally will be includible in a U.S. Holder’s gross income, in accordance with such U.S. Holder’s method of accounting for U.S. federal income tax purposes, as dividend income, but only to the extent that such distributions are paid out of our current or accumulated earnings and profits as determined under U.S. federal income tax principles. The dividends will be taxable to a corporate U.S. Holder at regular corporate tax rates and will generally be eligible for the dividends received deduction if the requisite holding period is satisfied. Distributions in excess of such earnings and profits generally will be applied against and reduce the U.S. Holder’s basis in its Common Stock (but not below zero), and to the extent in excess of such basis, will be treated as gain from the sale or exchange of such Common Stock, as described under “— </w:t>
      </w:r>
      <w:r>
        <w:rPr>
          <w:rFonts w:ascii="Times New Roman" w:hAnsi="Times New Roman"/>
          <w:i/>
          <w:sz w:val="20"/>
        </w:rPr>
        <w:t>Gain or Loss on Sale, Taxable Exchange, or Other Taxable Disposition of Securities</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non-corporate U.S. Holders and with certain exceptions, dividends may be “qualified dividend income,” which is taxed at the lower applicable long-term capital gain rate provided that the U.S. Holder satisfies certain holding period requirements and the U.S. Holder is not under an obligation to make related payments with respect to positions in substantially similar or related property. If the holding period requirements are not satisfied, corporate U.S. Holders may not be able to qualify for the dividends received deduction and would have taxable income equal to the entire dividend amount, and non-corporate U.S. Holders may be subject to tax on such dividends at regular ordinary income tax rates instead of the preferential rate that applies to qualified dividend income. </w:t>
      </w:r>
    </w:p>
    <w:p>
      <w:pPr>
        <w:pStyle w:val="TextBody"/>
        <w:bidi w:val="0"/>
        <w:spacing w:before="240" w:after="0"/>
        <w:jc w:val="left"/>
        <w:rPr>
          <w:rFonts w:ascii="Times New Roman" w:hAnsi="Times New Roman"/>
          <w:sz w:val="20"/>
        </w:rPr>
      </w:pPr>
      <w:r>
        <w:rPr>
          <w:rFonts w:ascii="Times New Roman" w:hAnsi="Times New Roman"/>
          <w:i/>
          <w:sz w:val="20"/>
        </w:rPr>
        <w:t>Gain or Loss on Sale, Taxable Exchange, or Other Taxable Disposition of Securities.  </w:t>
      </w:r>
      <w:r>
        <w:rPr>
          <w:rFonts w:ascii="Times New Roman" w:hAnsi="Times New Roman"/>
          <w:sz w:val="20"/>
        </w:rPr>
        <w:t xml:space="preserve">Upon a sale or other taxable disposition of our securities, a U.S. Holder generally will recognize capital gain or loss. Generally, the amount of gain or loss recognized by a U.S. Holder is an amount equal to the difference between (i) the sum of the amount of cash and the fair market value of any property received in such disposition and (ii) the U.S. Holder’s adjusted tax basis in its securities so disposed of. A U.S. Holder’s adjusted tax basis in its securities generally will equal the U.S. Holder’s adjusted cost less, in the case of a share of Common Stock, any prior distributions treated as a return of capital. In the case of any securities originally acquired as part of an investment unit, the acquisition cost for the securities that were part of such unit would equal an allocable portion of the acquisition cost of the unit based on the relative fair market values of the components of the unit at the time of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such capital gain or loss generally will be long-term capital gain or loss if the U.S. Holder’s holding period for the securities so disposed of exceeds one year. If the holding period requirements are not satisfied, any gain on a sale or taxable disposition of the securities would be subject to short-term capital gain treatment and would be taxed at regular ordinary income tax rates. Long-term capital gains recognized by non-corporate U.S. Holders will be eligible to be taxed at reduced rates.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i/>
          <w:sz w:val="20"/>
        </w:rPr>
        <w:t>Exercise, Lapse, or Redemption of a Warrant.  </w:t>
      </w:r>
      <w:r>
        <w:rPr>
          <w:rFonts w:ascii="Times New Roman" w:hAnsi="Times New Roman"/>
          <w:sz w:val="20"/>
        </w:rPr>
        <w:t xml:space="preserve">Except as discussed below with respect to the cashless exercise of a Warrant, a U.S. Holder generally will not recognize gain or loss upon the acquisition of a share of Common Stock on the exercise of a Warrant for cash. A U.S. Holder’s tax basis in a share of our Common Stock received upon exercise of the Warrant generally will be an amount equal to the sum of the U.S. Holder’s initial investment in the Warrant and the exercise price. The U.S. Holder’s holding period for the share of Common Stock received upon exercise of the Warrant generally will commence on the date of exercise of the Warrant or the date following the date of exercise of the Warrant; however, in either case the holding period will not include the period during which the U.S. Holder held the Warrant. If a Warrant is allowed to lapse unexercised, a U.S. Holder generally will recognize a capital loss equal to such holder’s tax basis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basis in the share of Common Stock received would equal the holder’s basis in the Warrants used to effect the cashless exercise. If the cashless exercise is not treated as a realization event, a U.S. Holder’s holding period in the Common Stock generally would be treated as commencing on the date following the date of exercise (or possibly the date of exercise of the Warrant). If the cashless exercise were treated as a recapitalization, the holding period of the Common Stock would include the holding period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It is also possible that a cashless exercise could be treated in part as a taxable exchange in which gain or loss would be recognized. In such event, a portion of the Warrants to be exercised on a cashless basis could, for U.S. federal income tax purposes, be deemed to have been surrendered in consideration for the exercise price of the remaining Warrants, which would be deemed to be exercised. For this purpose, a U.S. Holder could be deemed to have surrendered Warrants having an aggregate fair market value equal to the exercise price for the total number of Warrants deemed to be exercised. The U.S. Holder would recognize capital gain or loss in an amount equal to the difference between the fair market value of the Warrants deemed surrendered and the U.S. Holder’s tax basis in such Warrants. In this case, a U.S. Holder’s tax basis in the Common Stock received would equal the sum of the U.S. Holder’s initial investment in the Warrants deemed exercised and the exercise price of such Warrants. A U.S. Holder’s holding period for the Common Stock in such case generally would commence on the date following the date of exercise (or possibly the date of exercise)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Due to the absence of authority on the U.S.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 </w:t>
      </w:r>
    </w:p>
    <w:p>
      <w:pPr>
        <w:pStyle w:val="TextBody"/>
        <w:bidi w:val="0"/>
        <w:spacing w:before="240" w:after="0"/>
        <w:jc w:val="left"/>
        <w:rPr>
          <w:rFonts w:ascii="Times New Roman" w:hAnsi="Times New Roman"/>
          <w:sz w:val="20"/>
        </w:rPr>
      </w:pPr>
      <w:r>
        <w:rPr>
          <w:rFonts w:ascii="Times New Roman" w:hAnsi="Times New Roman"/>
          <w:sz w:val="20"/>
        </w:rPr>
        <w:t>If we redeem Warrants for cash pursuant to the redemption provisions described in the section of this prospectus entitled “</w:t>
      </w:r>
      <w:r>
        <w:rPr>
          <w:rFonts w:ascii="Times New Roman" w:hAnsi="Times New Roman"/>
          <w:i/>
          <w:sz w:val="20"/>
        </w:rPr>
        <w:t>Description of Capital Stock — Warrants</w:t>
      </w:r>
      <w:r>
        <w:rPr>
          <w:rFonts w:ascii="Times New Roman" w:hAnsi="Times New Roman"/>
          <w:sz w:val="20"/>
        </w:rPr>
        <w:t>” or if we purchase Warrants in an open market transaction, such redemption or purchase generally will be treated as a taxable disposition to the U.S. Holder, taxed as described above under “U</w:t>
      </w:r>
      <w:r>
        <w:rPr>
          <w:rFonts w:ascii="Times New Roman" w:hAnsi="Times New Roman"/>
          <w:i/>
          <w:sz w:val="20"/>
        </w:rPr>
        <w:t>.S. Holders — Gain or Loss on Sale, Taxable Exchange or Other Taxable Disposition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Possible Constructive Distributions.  </w:t>
      </w:r>
      <w:r>
        <w:rPr>
          <w:rFonts w:ascii="Times New Roman" w:hAnsi="Times New Roman"/>
          <w:sz w:val="20"/>
        </w:rPr>
        <w:t>The terms of each Warrant provide for an adjustment to the number of shares of Common Stock for which the Warrant may be exercised or to the exercise price of the Warrant in certain events as discussed in the section of this registration statement captioned “</w:t>
      </w:r>
      <w:r>
        <w:rPr>
          <w:rFonts w:ascii="Times New Roman" w:hAnsi="Times New Roman"/>
          <w:i/>
          <w:sz w:val="20"/>
        </w:rPr>
        <w:t>Description of Capital Stock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Warrants</w:t>
      </w:r>
      <w:r>
        <w:rPr>
          <w:rFonts w:ascii="Times New Roman" w:hAnsi="Times New Roman"/>
          <w:sz w:val="20"/>
        </w:rPr>
        <w:t xml:space="preserve">.” An adjustment that has the effect of preventing dilution generally is not taxable. U.S. Holders of Warrants would, however, be treated as receiving a constructive distribution from us if, for example, the adjustment increases the Warrant holders’ proportionate interest in our assets or earnings and profits (for instance, through an increase in the number of shares of Common Stock that would be obtained upon exercise or through a decrease in the exercise price of the Warrant) as a result of a distribution of cash or other property such as other securities to the holders of our Common Stock which is taxable to such holders of our Common Stock as a distribution. Such constructive distributions would generally be subject to tax in the same manner as if the U.S. Holders of the Warrants received a cash distribution from us equal to the fair market value of such increased interest. For certain informational reporting purposes, we are required to determine the date and amount of any such constructive distributions and publicly report such information or report such information to the IRS and holders of Warrants not exempt from information reporting. Proposed Treasury Regulations, which we may rely on prior to the issuance of final regulations, specify how the date and amount of constructive distributions are determined.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Withholding.  </w:t>
      </w:r>
      <w:r>
        <w:rPr>
          <w:rFonts w:ascii="Times New Roman" w:hAnsi="Times New Roman"/>
          <w:sz w:val="20"/>
        </w:rPr>
        <w:t xml:space="preserve">Distributions with respect to the Common Stock to a U.S. Holder, regardless of whether such distributions constitute dividends, and proceeds from the sale, exchange or redemption of the Common Stock by a U.S. Holder generally are subject to information reporting to the IRS and possible U.S. backup withholding, unless the U.S. Holder is an exempt recipient. Backup withholding may apply to such payments if a U.S. Holder fails to furnish a correct taxpayer identification number, a certification of exempt status or has been notified by the IRS that it is subject to backup withholding (and such notification has not been withdrawn).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Amounts withheld as backup withholding may be credited against a U.S. Holder’s U.S. federal income tax liability, and such holder may obtain a refund of any excess amounts withheld under the backup withholding rules by timely filing the appropriate claim for refund with the IRS and furnishing any required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any beneficial owner of our securities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corporation;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estate or trust. </w:t>
            </w:r>
          </w:p>
        </w:tc>
      </w:tr>
    </w:tbl>
    <w:p>
      <w:pPr>
        <w:pStyle w:val="TextBody"/>
        <w:bidi w:val="0"/>
        <w:spacing w:before="240" w:after="0"/>
        <w:jc w:val="left"/>
        <w:rPr>
          <w:rFonts w:ascii="Times New Roman" w:hAnsi="Times New Roman"/>
          <w:sz w:val="20"/>
        </w:rPr>
      </w:pPr>
      <w:r>
        <w:rPr>
          <w:rFonts w:ascii="Times New Roman" w:hAnsi="Times New Roman"/>
          <w:i/>
          <w:sz w:val="20"/>
        </w:rPr>
        <w:t>Taxation of Distributions.</w:t>
      </w:r>
      <w:r>
        <w:rPr>
          <w:rFonts w:ascii="Times New Roman" w:hAnsi="Times New Roman"/>
          <w:sz w:val="20"/>
        </w:rPr>
        <w:t>  As described in the section entitled “Dividend Policy,” we have no current plans to pay dividends on our Common Stock.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 </w:t>
      </w:r>
      <w:r>
        <w:rPr>
          <w:rFonts w:ascii="Times New Roman" w:hAnsi="Times New Roman"/>
          <w:i/>
          <w:sz w:val="20"/>
        </w:rPr>
        <w:t>Gain or Loss on Sale, Taxable Exchange, or Other Taxable Disposition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before="240" w:after="0"/>
        <w:jc w:val="left"/>
        <w:rPr>
          <w:rFonts w:ascii="Times New Roman" w:hAnsi="Times New Roman"/>
          <w:sz w:val="20"/>
        </w:rPr>
      </w:pPr>
      <w:r>
        <w:rPr>
          <w:rFonts w:ascii="Times New Roman" w:hAnsi="Times New Roman"/>
          <w:i/>
          <w:sz w:val="20"/>
        </w:rPr>
        <w:t>Gain or Loss on Sale, Taxable Exchange, or other Taxable Disposition of Securities.</w:t>
      </w:r>
      <w:r>
        <w:rPr>
          <w:rFonts w:ascii="Times New Roman" w:hAnsi="Times New Roman"/>
          <w:sz w:val="20"/>
        </w:rPr>
        <w:t xml:space="preserve">  A Non-U.S. Holder will not be subject to U.S. federal income tax on any gain realized upon the sale or other taxable disposition of our securities (including an expiration or redemption of Warrants)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our securities constitute constitutes a U.S. real property interests (“</w:t>
            </w:r>
            <w:r>
              <w:rPr>
                <w:rFonts w:ascii="Times New Roman" w:hAnsi="Times New Roman"/>
                <w:b/>
                <w:sz w:val="20"/>
              </w:rPr>
              <w:t>USRPI</w:t>
            </w:r>
            <w:r>
              <w:rPr>
                <w:rFonts w:ascii="Times New Roman" w:hAnsi="Times New Roman"/>
                <w:sz w:val="20"/>
              </w:rPr>
              <w:t>”) by reason of our status as a U.S. real property holding corporation (“</w:t>
            </w:r>
            <w:r>
              <w:rPr>
                <w:rFonts w:ascii="Times New Roman" w:hAnsi="Times New Roman"/>
                <w:b/>
                <w:sz w:val="20"/>
              </w:rPr>
              <w:t>USRPHC</w:t>
            </w:r>
            <w:r>
              <w:rPr>
                <w:rFonts w:ascii="Times New Roman" w:hAnsi="Times New Roman"/>
                <w:sz w:val="20"/>
              </w:rPr>
              <w:t xml:space="preserve">”)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rate of 30% (or such lower rate specified by an applicable income tax treaty) on gain realized upon the sale or other taxable disposition of our securities,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potentially applicable income tax treaties that may provide for different rules. </w:t>
      </w:r>
    </w:p>
    <w:p>
      <w:pPr>
        <w:pStyle w:val="TextBody"/>
        <w:bidi w:val="0"/>
        <w:spacing w:before="240" w:after="0"/>
        <w:jc w:val="left"/>
        <w:rPr>
          <w:rFonts w:ascii="Times New Roman" w:hAnsi="Times New Roman"/>
          <w:sz w:val="20"/>
        </w:rPr>
      </w:pPr>
      <w:r>
        <w:rPr>
          <w:rFonts w:ascii="Times New Roman" w:hAnsi="Times New Roman"/>
          <w:i/>
          <w:sz w:val="20"/>
        </w:rPr>
        <w:t>Exercise, Lapse or Redemption of a Warrant.  </w:t>
      </w:r>
      <w:r>
        <w:rPr>
          <w:rFonts w:ascii="Times New Roman" w:hAnsi="Times New Roman"/>
          <w:sz w:val="20"/>
        </w:rPr>
        <w:t>The U.S. federal income tax characterization of the exercise, redemption or lapse of a Warrant held by a Non-U.S. Holder generally will follow the U.S. federal income tax characterization of the exercise, redemption or lapse of a Warrant by a U.S. Holder, as described under “</w:t>
      </w:r>
      <w:r>
        <w:rPr>
          <w:rFonts w:ascii="Times New Roman" w:hAnsi="Times New Roman"/>
          <w:i/>
          <w:sz w:val="20"/>
        </w:rPr>
        <w:t>U.S. Holders — Exercise, Lapse or Redemption of a Warrant</w:t>
      </w:r>
      <w:r>
        <w:rPr>
          <w:rFonts w:ascii="Times New Roman" w:hAnsi="Times New Roman"/>
          <w:sz w:val="20"/>
        </w:rPr>
        <w:t>” above, and the tax consequences of such characterizations will be as set forth above and below in this “</w:t>
      </w:r>
      <w:r>
        <w:rPr>
          <w:rFonts w:ascii="Times New Roman" w:hAnsi="Times New Roman"/>
          <w:i/>
          <w:sz w:val="20"/>
        </w:rPr>
        <w:t>Non-U.S. Holders</w:t>
      </w:r>
      <w:r>
        <w:rPr>
          <w:rFonts w:ascii="Times New Roman" w:hAnsi="Times New Roman"/>
          <w:sz w:val="20"/>
        </w:rPr>
        <w:t xml:space="preserve">”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If we redeem Warrants for cash pursuant to the redemption provisions described in the section of this prospectus entitled “</w:t>
      </w:r>
      <w:r>
        <w:rPr>
          <w:rFonts w:ascii="Times New Roman" w:hAnsi="Times New Roman"/>
          <w:i/>
          <w:sz w:val="20"/>
        </w:rPr>
        <w:t>Description of Capital Stock — Warrants</w:t>
      </w:r>
      <w:r>
        <w:rPr>
          <w:rFonts w:ascii="Times New Roman" w:hAnsi="Times New Roman"/>
          <w:sz w:val="20"/>
        </w:rPr>
        <w:t>” or if we purchase Warrants in an open market transaction, such redemption or purchase generally will be treated as a taxable disposition to the U.S. Holder, taxed as described below under “</w:t>
      </w:r>
      <w:r>
        <w:rPr>
          <w:rFonts w:ascii="Times New Roman" w:hAnsi="Times New Roman"/>
          <w:i/>
          <w:sz w:val="20"/>
        </w:rPr>
        <w:t>Non U.S. Holders — Gain or Loss on Sale, Taxable Exchange or Other Taxable Disposition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Possible Constructive Distributions.  </w:t>
      </w:r>
      <w:r>
        <w:rPr>
          <w:rFonts w:ascii="Times New Roman" w:hAnsi="Times New Roman"/>
          <w:sz w:val="20"/>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 w:hAnsi="Times New Roman"/>
          <w:i/>
          <w:sz w:val="20"/>
        </w:rPr>
        <w:t>Description of Capital Stock — Warrants</w:t>
      </w:r>
      <w:r>
        <w:rPr>
          <w:rFonts w:ascii="Times New Roman" w:hAnsi="Times New Roman"/>
          <w:sz w:val="20"/>
        </w:rPr>
        <w:t>.” An adjustment that has the effect of preventing dilution generally is not taxable. Non-U.S. Holders of Warrants would, however, be treated as receiving a constructive distribution from us if, for example, the adjustment increases the Non-U.S. Holders’ proportionate interest in our assets or earnings and profits (for instance,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which is taxable to such holders of our Common Stock as a distribution. Such constructive distribution to a Non-U.S. Holder of Warrants would be treated as if such Non-U.S. Holder had received a cash distribution from us equal to the fair market value of such increased interest (taxed as described above under “</w:t>
      </w:r>
      <w:r>
        <w:rPr>
          <w:rFonts w:ascii="Times New Roman" w:hAnsi="Times New Roman"/>
          <w:i/>
          <w:sz w:val="20"/>
        </w:rPr>
        <w:t>Non U.S. Holders — Taxation of Distributions</w:t>
      </w:r>
      <w:r>
        <w:rPr>
          <w:rFonts w:ascii="Times New Roman" w:hAnsi="Times New Roman"/>
          <w:sz w:val="20"/>
        </w:rPr>
        <w:t xml:space="preserve">”). For certain informational reporting purposes, we are required to determine the date and amount of any such constructive distributions and publicly report such information or report such information to the IRS and holders of Warrants not exempt from information reporting. Proposed Treasury Regulations, which taxpayers may generally rely on prior to the issuance of final regulations, specify how the date and amount of constructive distributions are determined.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securities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securities conducted through a non-U.S. office of a non-U.S. broker generally will not be subject to backup withholding or information reporting. </w:t>
      </w:r>
    </w:p>
    <w:p>
      <w:pPr>
        <w:pStyle w:val="TextBody"/>
        <w:bidi w:val="0"/>
        <w:spacing w:before="240" w:after="0"/>
        <w:jc w:val="left"/>
        <w:rPr>
          <w:rFonts w:ascii="Times New Roman" w:hAnsi="Times New Roman"/>
          <w:sz w:val="20"/>
        </w:rPr>
      </w:pPr>
      <w:r>
        <w:rPr>
          <w:rFonts w:ascii="Times New Roman" w:hAnsi="Times New Roman"/>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Tax on Payments Made to Foreign Accounts </w:t>
      </w:r>
    </w:p>
    <w:p>
      <w:pPr>
        <w:pStyle w:val="TextBody"/>
        <w:bidi w:val="0"/>
        <w:spacing w:before="120" w:after="0"/>
        <w:jc w:val="left"/>
        <w:rPr>
          <w:rFonts w:ascii="Times New Roman" w:hAnsi="Times New Roman"/>
          <w:sz w:val="20"/>
        </w:rPr>
      </w:pPr>
      <w:r>
        <w:rPr>
          <w:rFonts w:ascii="Times New Roman" w:hAnsi="Times New Roman"/>
          <w:sz w:val="20"/>
        </w:rPr>
        <w:t>Withholding taxes may be imposed under Sections 1471 to 1474 of the Code (such Sections commonly referred to as the Foreign Account Tax Compliance Act, or (“</w:t>
      </w:r>
      <w:r>
        <w:rPr>
          <w:rFonts w:ascii="Times New Roman" w:hAnsi="Times New Roman"/>
          <w:b/>
          <w:sz w:val="20"/>
        </w:rPr>
        <w:t>FATCA</w:t>
      </w:r>
      <w:r>
        <w:rPr>
          <w:rFonts w:ascii="Times New Roman" w:hAnsi="Times New Roman"/>
          <w:sz w:val="20"/>
        </w:rPr>
        <w:t xml:space="preserve">”)) on certain types of payments made to non-U.S. financial institutions and certain other non-U.S. entities. Specifically, a 30% withholding tax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imposed on dividends on, or (subject to the proposed Treasury Regulations discussed below) gross proceeds from the sale or other disposition of, our Common Stock paid, or constructive distributions deemed paid, if any, with respect to our Warrants,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Under the applicable Treasury Regulations and administrative guidance, withholding under FATCA generally applies to payments of dividends on our Common Stock. While withholding under FATCA would have applied also to payments of gross proceeds from the sale or other disposition of our Common Stock on or after January 1, 2019, proposed Treasury Regulations eliminate FATCA withholding on payments of gross proceeds entirely.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potential application of withholding under FATCA to their investment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THE DISCUSSION ABOVE IS A GENERAL SUMMARY. IT DOES NOT COVER ALL TAX MATTERS THAT MAY BE IMPORTANT TO YOU. EACH PROSPECTIVE PURCHASER SHOULD CONSULT ITS TAX ADVISOR ABOUT THE TAX CONSEQUENCES OF AN INVESTMENT IN OUR SECURITIES BASED ON THE INVESTOR’S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58823_21"/>
      <w:bookmarkEnd w:id="2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which as used herein includes donees, pledgees, transferees, distributees, or other successors-in-interest selling shares of our Common Stock or Warrants or interests in our Common Stock or Warrants received after the date of this prospectus from the Selling Securityholders as a gift, pledge, distribution, or other transfer, may, from time to time, sell, transfer, distribute, or otherwise dispose of certain of their shares of Common Stock or Warrants or interests in our Common Stock or Warrants on any stock exchange, market, or trading facility on which shares of our Common Stock or Warrants, are traded or in private transactions. These dispositions may be at fixed prices, at prevailing market prices at the time of sale, at prices related to the prevailing market prices,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use any one or more of the following methods when disposing of their securities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their members, partners, 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effected after the date of the registration statement of which this prospectus forms a part is declared effective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market transactions, including transactions on a national securities exchange or quotations service or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who may agree with the Selling Securityholders to sell a specified number of such securities at a stipulated price per share or warrant;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from time to time, pledge or grant a security interest in some shares of our Common Stock or Warrants owned by them and, if a Selling Securityholder defaults in the performance of its secured obligations, the pledgees or secured parties may offer and sell such securities, from time to time, under this prospectus, or under an amendment or supplement to this prospectus amending the list of the Selling Securityholders to include the pledgee, transferee, or other successors-in-interest as the Selling Securityholders under this prospectus. The Selling Securityholders also may transfer securities in other circumstances, in which case the transferees, pledgees, or other successors-in-interest will be the selling beneficial owners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shares of our Common Stock or Warrants or interests therein, the Selling Securityholders may enter into hedging transactions with broker-dealers or other financial institutions, which may in turn engage in short sales of such securities in the course of hedging the positions they assume.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Selling Securityholders may also sell shares of our Common Stock or Warrants short and deliver these securities to close out their short positions, or loan or pledge shares of our Common Stock or Warrants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shares of our Common Stock or Warrants offered by this prospectus, which shares or warrants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Securityholders from the sale of shares of our Common Stock or Warrants offered by them will be the purchase price of such securities, less discounts or commissions, if any. The Selling Securityholders reserve the right to accept and, together with their agents from time to time, to reject, in whole or in part, any proposed purchase of shares of our Common Stock or Warrants to be made directly or through agents. We will not receive any of the proceeds from any offering by the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also may in the future resell a portion of our Common Stock or Warrants in open-market transactions in reliance upon Rule 144 under the Securities Act (provided that they meet the criteria and conform to the requirements of that rule), or pursuant to other available exemptions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underwriters, broker-dealers, or agents that participate in the sale of shares of our Common Stock or Warrants or interests therein may be “underwriters” within the meaning of Section 2(11) of the Securities Act. Any discounts, commissions, concessions, or profit they earn on any resale of such securities may be underwriting discounts and commissions under the Securities Act. If any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Securityholders, to indemnification against and contribution toward specific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number of shares of our Common Stock or Warrants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To facilitate the offering of securities offered by the Selling Securityholders, certain persons participating in the offering may engage in transactions that stabilize, maintain, or otherwise affect the price of our Common Stock or Warrants. This may include over-allotments or short sales, which involve the sale by persons participating in the offering of more shares of Common Stock or Warrants than were sold to them. In these circumstances, these persons would cover such over-allotments or short positions by making purchases in the open market or by exercising their over-allotment option, if any. In addition, these persons may stabilize or maintain the price of our Common Stock or Warrants by bidding for or purchasing shares of Common Stock or Warrants in the open market or by imposing penalty bids, whereby selling concessions allowed to dealers participating in the offering may be reclaimed if shares of Common Stock or Warrants sold by them are repurchased in connection with stabilization transactions. The effect of these transactions may be to stabilize or maintain the market price of our Common Stock or Warrants at a level above that which might otherwise prevail in the open market. These transactions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Under the Registration Rights Agreement,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agree to indemnify any underwriter, broker-dealer, or agent against certain liabilities related to the selling of the securities,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maintain the effectiveness of the registration statement of which this prospectus forms a part until all such securities have been sold under such registration statement or under Rule 144 under the Securities Act or are no longer outstanding, or under other circumstances as described in the Registration Rights Agreement. We have agreed to pay all expenses in connection with this offering, other than underwriting fees, discounts, selling commissions, stock transfer taxes, and certain legal expenses. The Selling Securityholders will pay, on a pro rata basis, any underwriting fees, discounts, selling commissions, stock transfer taxes, and certain legal expenses relating to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use this prospectus in connection with resales of shares of our Common Stock and Warrants. This prospectus and any accompanying prospectus supplement will identify the Selling Securityholders, the terms of our Common Stock and Warrants, and any material relationships between us and the Selling Securityholders. The Selling Securityholders may be deemed to be underwriters under the Securities Act in connection with shares of our Common Stock or Warrants they resell and any profits on the sales may be deemed to be underwriting discounts and commissions under the Securities Act. Unless otherwise set forth in a prospectus supplement, the Selling Securityholders will receive all the net proceeds from the resale of shares of our Common Stock or Warrants. </w:t>
      </w:r>
    </w:p>
    <w:p>
      <w:pPr>
        <w:pStyle w:val="TextBody"/>
        <w:bidi w:val="0"/>
        <w:spacing w:before="240" w:after="0"/>
        <w:jc w:val="left"/>
        <w:rPr>
          <w:rFonts w:ascii="Times New Roman" w:hAnsi="Times New Roman"/>
          <w:sz w:val="20"/>
        </w:rPr>
      </w:pPr>
      <w:r>
        <w:rPr>
          <w:rFonts w:ascii="Times New Roman" w:hAnsi="Times New Roman"/>
          <w:sz w:val="20"/>
        </w:rPr>
        <w:t xml:space="preserve">A Selling Securityholder that is an entity may elect to make an in-kind distribution of Common Stock or Warrants to its members, partners, or stockholders pursuant to the registration statement of which this prospectus forms a part by delivering a prospectus. To the extent that such members, partners, or stockholders are not affiliates of ours, such members, partners, or stockholders would thereby receive freely tradable shares of Common Stock or Warrants pursuant to the distribution through a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58823_22"/>
      <w:bookmarkEnd w:id="2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hereby will be passed upon for us by Latham &amp; Watkins LLP, Houston, Texas. </w:t>
      </w:r>
    </w:p>
    <w:p>
      <w:pPr>
        <w:pStyle w:val="TextBody"/>
        <w:bidi w:val="0"/>
        <w:spacing w:before="480" w:after="0"/>
        <w:jc w:val="center"/>
        <w:rPr>
          <w:rFonts w:ascii="Times New Roman" w:hAnsi="Times New Roman"/>
          <w:b/>
          <w:sz w:val="20"/>
        </w:rPr>
      </w:pPr>
      <w:bookmarkStart w:id="25" w:name="toc58823_23"/>
      <w:bookmarkEnd w:id="2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b/>
          <w:sz w:val="20"/>
        </w:rPr>
        <w:t>[To be provided in a future filing]</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26" w:name="toc58823_24"/>
      <w:bookmarkEnd w:id="2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We have also filed a registration statement on Form S-1, including exhibits, under the Securities Act with respect to the securities offered by this prospectus. This prospectus is part of the registration statement, but does not contain all of the information included in the registration statement or the exhibits filed with the registration statement. For further information about us and the securities offered hereby, we refer you to the registration statement and the exhibits filed with the registration statement.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Our SEC filings are available to the public on the internet at a website maintained by the SEC located at http://www.sec.gov. Those filings are also available to the public on, or accessible through, our website under the heading “Investor Relations” at www.Teamshares.com. Information contained on our website is not a part of this prospectus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240" w:after="0"/>
        <w:jc w:val="center"/>
        <w:rPr>
          <w:rFonts w:ascii="Times New Roman" w:hAnsi="Times New Roman"/>
          <w:b/>
          <w:sz w:val="20"/>
        </w:rPr>
      </w:pPr>
      <w:bookmarkStart w:id="27" w:name="toc58823_25"/>
      <w:bookmarkEnd w:id="27"/>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25"/>
        <w:gridCol w:w="123"/>
        <w:gridCol w:w="60"/>
        <w:gridCol w:w="1235"/>
        <w:gridCol w:w="62"/>
      </w:tblGrid>
      <w:tr>
        <w:trPr/>
        <w:tc>
          <w:tcPr>
            <w:tcW w:w="872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240" w:hRule="atLeast"/>
        </w:trPr>
        <w:tc>
          <w:tcPr>
            <w:tcW w:w="8725"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Unaudited Consolidated Financial Statements: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0"/>
              <w:jc w:val="left"/>
              <w:rPr/>
            </w:pPr>
            <w:hyperlink w:anchor="fintoc58823_20">
              <w:r>
                <w:rPr>
                  <w:rStyle w:val="InternetLink"/>
                  <w:rFonts w:ascii="Times New Roman" w:hAnsi="Times New Roman"/>
                  <w:sz w:val="20"/>
                </w:rPr>
                <w:t>Condensed Consolidated Balance Sheets as of March 31, 2026 (Unaudited) and December 31, 2025</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toc58823_21">
              <w:r>
                <w:rPr>
                  <w:rStyle w:val="InternetLink"/>
                  <w:rFonts w:ascii="Times New Roman" w:hAnsi="Times New Roman"/>
                  <w:sz w:val="20"/>
                </w:rPr>
                <w:t>Condensed Consolidated Statements of Operations for the Three Months Ended March 31, 2026 and 2025 (Unaudited)</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toc58823_22">
              <w:r>
                <w:rPr>
                  <w:rStyle w:val="InternetLink"/>
                  <w:rFonts w:ascii="Times New Roman" w:hAnsi="Times New Roman"/>
                  <w:sz w:val="20"/>
                </w:rPr>
                <w:t>Condensed Consolidated Statements of Changes in Shareholders’ Deficit for the Three Months Ended March 31, 2026 and 2025 (Unaudited)</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toc58823_23">
              <w:r>
                <w:rPr>
                  <w:rStyle w:val="InternetLink"/>
                  <w:rFonts w:ascii="Times New Roman" w:hAnsi="Times New Roman"/>
                  <w:sz w:val="20"/>
                </w:rPr>
                <w:t>Condensed Consolidated Statements of Cash Flows for the Three Months Ended March 31, 2026 and 2025 (Unaudited)</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toc58823_24">
              <w:r>
                <w:rPr>
                  <w:rStyle w:val="InternetLink"/>
                  <w:rFonts w:ascii="Times New Roman" w:hAnsi="Times New Roman"/>
                  <w:sz w:val="20"/>
                </w:rPr>
                <w:t>Notes to Condensed Consolidated Financial Statements (Unaudited)</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rHeight w:val="240" w:hRule="atLeast"/>
        </w:trPr>
        <w:tc>
          <w:tcPr>
            <w:tcW w:w="8725"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0"/>
              <w:jc w:val="left"/>
              <w:rPr/>
            </w:pPr>
            <w:hyperlink w:anchor="fin58823_11">
              <w:r>
                <w:rPr>
                  <w:rStyle w:val="InternetLink"/>
                  <w:rFonts w:ascii="Times New Roman" w:hAnsi="Times New Roman"/>
                  <w:sz w:val="20"/>
                </w:rPr>
                <w:t xml:space="preserve">Report of Independent Registered Public Accounting Firm </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F-27</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Consolidated Financial Statements: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0"/>
              <w:jc w:val="left"/>
              <w:rPr/>
            </w:pPr>
            <w:hyperlink w:anchor="fin58823_12">
              <w:r>
                <w:rPr>
                  <w:rStyle w:val="InternetLink"/>
                  <w:rFonts w:ascii="Times New Roman" w:hAnsi="Times New Roman"/>
                  <w:sz w:val="20"/>
                </w:rPr>
                <w:t>Consolidated Balance Sheets as of December 31, 2025 and 2024</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F-28</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58823_13">
              <w:r>
                <w:rPr>
                  <w:rStyle w:val="InternetLink"/>
                  <w:rFonts w:ascii="Times New Roman" w:hAnsi="Times New Roman"/>
                  <w:sz w:val="20"/>
                </w:rPr>
                <w:t>Consolidated Statements of Operations for the Year Ended December  31, 2025 and for the Period from November 27, 2024 (Inception) Through December 31, 2024</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F-29</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58823_14">
              <w:r>
                <w:rPr>
                  <w:rStyle w:val="InternetLink"/>
                  <w:rFonts w:ascii="Times New Roman" w:hAnsi="Times New Roman"/>
                  <w:sz w:val="20"/>
                </w:rPr>
                <w:t>Consolidated Statements of Changes in Shareholders’ Equity (Deficit) for the Year Ended December 31, 2025 and for the Period from November 27, 2024 (Inception) Through December 31, 2024</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F-30</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58823_15">
              <w:r>
                <w:rPr>
                  <w:rStyle w:val="InternetLink"/>
                  <w:rFonts w:ascii="Times New Roman" w:hAnsi="Times New Roman"/>
                  <w:sz w:val="20"/>
                </w:rPr>
                <w:t>Consolidated Statements of Cash Flows for the Year Ended December  31, 2025 and for the Period from November 27, 2024 (Inception) Through December 31, 2024</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F-31</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58823_16">
              <w:r>
                <w:rPr>
                  <w:rStyle w:val="InternetLink"/>
                  <w:rFonts w:ascii="Times New Roman" w:hAnsi="Times New Roman"/>
                  <w:sz w:val="20"/>
                </w:rPr>
                <w:t>Notes to Consolidated Financial Statements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F-32 to F-51</w:t>
            </w:r>
          </w:p>
        </w:tc>
        <w:tc>
          <w:tcPr>
            <w:tcW w:w="62" w:type="dxa"/>
            <w:tcBorders/>
            <w:vAlign w:val="bottom"/>
          </w:tcPr>
          <w:p>
            <w:pPr>
              <w:pStyle w:val="TableContents"/>
              <w:bidi w:val="0"/>
              <w:spacing w:before="0" w:after="283"/>
              <w:jc w:val="left"/>
              <w:rPr/>
            </w:pPr>
            <w:r>
              <w:rPr/>
              <w:t> </w:t>
            </w:r>
          </w:p>
        </w:tc>
      </w:tr>
      <w:tr>
        <w:trPr>
          <w:trHeight w:val="240" w:hRule="atLeast"/>
        </w:trPr>
        <w:tc>
          <w:tcPr>
            <w:tcW w:w="8725"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Financial Statements of Teamshares Inc.:</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FINANCIAL STATEMENTS (unaudited)</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0"/>
              <w:jc w:val="left"/>
              <w:rPr/>
            </w:pPr>
            <w:hyperlink w:anchor="f58823_1">
              <w:r>
                <w:rPr>
                  <w:rStyle w:val="InternetLink"/>
                  <w:rFonts w:ascii="Times New Roman" w:hAnsi="Times New Roman"/>
                  <w:sz w:val="20"/>
                </w:rPr>
                <w:t>CONSOLIDATED BALANCE SHEETS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F-53</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58823_2">
              <w:r>
                <w:rPr>
                  <w:rStyle w:val="InternetLink"/>
                  <w:rFonts w:ascii="Times New Roman" w:hAnsi="Times New Roman"/>
                  <w:sz w:val="20"/>
                </w:rPr>
                <w:t>CONSOLIDATED STATEMENTS OF OPERATIONS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F-54</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58823_3">
              <w:r>
                <w:rPr>
                  <w:rStyle w:val="InternetLink"/>
                  <w:rFonts w:ascii="Times New Roman" w:hAnsi="Times New Roman"/>
                  <w:sz w:val="20"/>
                </w:rPr>
                <w:t>CONSOLIDATED STATEMENTS OF COMPREHENSIVE LOSS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F-55</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58823_4">
              <w:r>
                <w:rPr>
                  <w:rStyle w:val="InternetLink"/>
                  <w:rFonts w:ascii="Times New Roman" w:hAnsi="Times New Roman"/>
                  <w:sz w:val="20"/>
                </w:rPr>
                <w:t>CONSOLIDATED STATEMENTS OF STOCKHOLDERS’ EQUITY</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F-56</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58823_5">
              <w:r>
                <w:rPr>
                  <w:rStyle w:val="InternetLink"/>
                  <w:rFonts w:ascii="Times New Roman" w:hAnsi="Times New Roman"/>
                  <w:sz w:val="20"/>
                </w:rPr>
                <w:t>CONSOLIDATED STATEMENTS OF CASH FLOWS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F-57</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58823_6">
              <w:r>
                <w:rPr>
                  <w:rStyle w:val="InternetLink"/>
                  <w:rFonts w:ascii="Times New Roman" w:hAnsi="Times New Roman"/>
                  <w:sz w:val="20"/>
                </w:rPr>
                <w:t>NOTES TO CONDENSED CONSOLIDATED FINANCIAL STATEMENTS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F-58</w:t>
            </w:r>
          </w:p>
        </w:tc>
        <w:tc>
          <w:tcPr>
            <w:tcW w:w="62" w:type="dxa"/>
            <w:tcBorders/>
            <w:vAlign w:val="bottom"/>
          </w:tcPr>
          <w:p>
            <w:pPr>
              <w:pStyle w:val="TableContents"/>
              <w:bidi w:val="0"/>
              <w:spacing w:before="0" w:after="283"/>
              <w:jc w:val="left"/>
              <w:rPr/>
            </w:pPr>
            <w:r>
              <w:rPr/>
              <w:t> </w:t>
            </w:r>
          </w:p>
        </w:tc>
      </w:tr>
      <w:tr>
        <w:trPr>
          <w:trHeight w:val="240" w:hRule="atLeast"/>
        </w:trPr>
        <w:tc>
          <w:tcPr>
            <w:tcW w:w="8725"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0"/>
              <w:jc w:val="left"/>
              <w:rPr/>
            </w:pPr>
            <w:hyperlink w:anchor="fin58823_1">
              <w:r>
                <w:rPr>
                  <w:rStyle w:val="InternetLink"/>
                  <w:rFonts w:ascii="Times New Roman" w:hAnsi="Times New Roman"/>
                  <w:sz w:val="20"/>
                </w:rPr>
                <w:t>INDEPENDENT AUDITORS’ REPORT</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F-74</w:t>
            </w:r>
          </w:p>
        </w:tc>
        <w:tc>
          <w:tcPr>
            <w:tcW w:w="62" w:type="dxa"/>
            <w:tcBorders/>
            <w:vAlign w:val="bottom"/>
          </w:tcPr>
          <w:p>
            <w:pPr>
              <w:pStyle w:val="TableContents"/>
              <w:bidi w:val="0"/>
              <w:spacing w:before="0" w:after="283"/>
              <w:jc w:val="left"/>
              <w:rPr/>
            </w:pPr>
            <w:r>
              <w:rPr/>
              <w:t> </w:t>
            </w:r>
          </w:p>
        </w:tc>
      </w:tr>
      <w:tr>
        <w:trPr>
          <w:trHeight w:val="240" w:hRule="atLeast"/>
        </w:trPr>
        <w:tc>
          <w:tcPr>
            <w:tcW w:w="8725"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FINANCIAL STATEMENTS (audited)</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25" w:type="dxa"/>
            <w:tcBorders/>
            <w:vAlign w:val="bottom"/>
          </w:tcPr>
          <w:p>
            <w:pPr>
              <w:pStyle w:val="TableContents"/>
              <w:bidi w:val="0"/>
              <w:spacing w:before="0" w:after="0"/>
              <w:jc w:val="left"/>
              <w:rPr/>
            </w:pPr>
            <w:hyperlink w:anchor="fin58823_2">
              <w:r>
                <w:rPr>
                  <w:rStyle w:val="InternetLink"/>
                  <w:rFonts w:ascii="Times New Roman" w:hAnsi="Times New Roman"/>
                  <w:sz w:val="20"/>
                </w:rPr>
                <w:t>CONSOLIDATED BALANCE SHEET</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F-75</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58823_3">
              <w:r>
                <w:rPr>
                  <w:rStyle w:val="InternetLink"/>
                  <w:rFonts w:ascii="Times New Roman" w:hAnsi="Times New Roman"/>
                  <w:sz w:val="20"/>
                </w:rPr>
                <w:t>CONSOLIDATED STATEMENT OF OPERATIONS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F-76</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58823_4">
              <w:r>
                <w:rPr>
                  <w:rStyle w:val="InternetLink"/>
                  <w:rFonts w:ascii="Times New Roman" w:hAnsi="Times New Roman"/>
                  <w:sz w:val="20"/>
                </w:rPr>
                <w:t>CONSOLIDATED STATEMENT OF COMPREHENSIVE LOSS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F-77</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58823_5">
              <w:r>
                <w:rPr>
                  <w:rStyle w:val="InternetLink"/>
                  <w:rFonts w:ascii="Times New Roman" w:hAnsi="Times New Roman"/>
                  <w:sz w:val="20"/>
                </w:rPr>
                <w:t>CONSOLIDATED STATEMENT OF STOCKHOLDERS’ EQUITY</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F-78</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58823_6">
              <w:r>
                <w:rPr>
                  <w:rStyle w:val="InternetLink"/>
                  <w:rFonts w:ascii="Times New Roman" w:hAnsi="Times New Roman"/>
                  <w:sz w:val="20"/>
                </w:rPr>
                <w:t>CONSOLIDATED STATEMENT OF CASH FLOWS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F-79</w:t>
            </w:r>
          </w:p>
        </w:tc>
        <w:tc>
          <w:tcPr>
            <w:tcW w:w="62" w:type="dxa"/>
            <w:tcBorders/>
            <w:vAlign w:val="bottom"/>
          </w:tcPr>
          <w:p>
            <w:pPr>
              <w:pStyle w:val="TableContents"/>
              <w:bidi w:val="0"/>
              <w:spacing w:before="0" w:after="283"/>
              <w:jc w:val="left"/>
              <w:rPr/>
            </w:pPr>
            <w:r>
              <w:rPr/>
              <w:t> </w:t>
            </w:r>
          </w:p>
        </w:tc>
      </w:tr>
      <w:tr>
        <w:trPr/>
        <w:tc>
          <w:tcPr>
            <w:tcW w:w="8725" w:type="dxa"/>
            <w:tcBorders/>
            <w:vAlign w:val="bottom"/>
          </w:tcPr>
          <w:p>
            <w:pPr>
              <w:pStyle w:val="TableContents"/>
              <w:bidi w:val="0"/>
              <w:spacing w:before="0" w:after="0"/>
              <w:jc w:val="left"/>
              <w:rPr/>
            </w:pPr>
            <w:hyperlink w:anchor="fin58823_7">
              <w:r>
                <w:rPr>
                  <w:rStyle w:val="InternetLink"/>
                  <w:rFonts w:ascii="Times New Roman" w:hAnsi="Times New Roman"/>
                  <w:sz w:val="20"/>
                </w:rPr>
                <w:t>NOTES TO CONSOLIDATED FINANCIAL STATEMENTS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F-80</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bookmarkStart w:id="28" w:name="fintoc58823_20"/>
      <w:bookmarkEnd w:id="28"/>
      <w:r>
        <w:rPr>
          <w:rFonts w:ascii="Times New Roman" w:hAnsi="Times New Roman"/>
          <w:b/>
          <w:sz w:val="20"/>
        </w:rPr>
        <w:t xml:space="preserve">CONDENSED CONSOLIDATED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97"/>
        <w:gridCol w:w="216"/>
        <w:gridCol w:w="140"/>
        <w:gridCol w:w="1247"/>
        <w:gridCol w:w="156"/>
        <w:gridCol w:w="185"/>
        <w:gridCol w:w="151"/>
        <w:gridCol w:w="1350"/>
        <w:gridCol w:w="163"/>
      </w:tblGrid>
      <w:tr>
        <w:trPr/>
        <w:tc>
          <w:tcPr>
            <w:tcW w:w="6597"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9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63" w:type="dxa"/>
            <w:tcBorders/>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387" w:type="dxa"/>
            <w:gridSpan w:val="2"/>
            <w:tcBorders/>
            <w:vAlign w:val="bottom"/>
          </w:tcPr>
          <w:p>
            <w:pPr>
              <w:pStyle w:val="TableContents"/>
              <w:bidi w:val="0"/>
              <w:spacing w:before="0" w:after="283"/>
              <w:jc w:val="center"/>
              <w:rPr>
                <w:b/>
              </w:rPr>
            </w:pPr>
            <w:r>
              <w:rPr>
                <w:b/>
              </w:rPr>
              <w:t>(Unaudited)</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01" w:type="dxa"/>
            <w:gridSpan w:val="2"/>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7" w:type="dxa"/>
            <w:tcBorders/>
            <w:vAlign w:val="bottom"/>
          </w:tcPr>
          <w:p>
            <w:pPr>
              <w:pStyle w:val="TableContents"/>
              <w:bidi w:val="0"/>
              <w:spacing w:before="0" w:after="283"/>
              <w:jc w:val="right"/>
              <w:rPr/>
            </w:pPr>
            <w:r>
              <w:rPr/>
              <w:t>1,124,492</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350" w:type="dxa"/>
            <w:tcBorders/>
            <w:vAlign w:val="bottom"/>
          </w:tcPr>
          <w:p>
            <w:pPr>
              <w:pStyle w:val="TableContents"/>
              <w:bidi w:val="0"/>
              <w:spacing w:before="0" w:after="283"/>
              <w:jc w:val="right"/>
              <w:rPr/>
            </w:pPr>
            <w:r>
              <w:rPr/>
              <w:t>1,329,433</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from sponsor</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713</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713</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80,417</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86,667</w:t>
            </w:r>
          </w:p>
        </w:tc>
        <w:tc>
          <w:tcPr>
            <w:tcW w:w="163" w:type="dxa"/>
            <w:tcBorders/>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1,205,622</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1,416,813</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Long-term prepaid insurance</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14,167</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241,144,179</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239,042,295</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47" w:type="dxa"/>
            <w:tcBorders/>
            <w:vAlign w:val="bottom"/>
          </w:tcPr>
          <w:p>
            <w:pPr>
              <w:pStyle w:val="TableContents"/>
              <w:bidi w:val="0"/>
              <w:spacing w:before="0" w:after="283"/>
              <w:jc w:val="right"/>
              <w:rPr>
                <w:b/>
              </w:rPr>
            </w:pPr>
            <w:r>
              <w:rPr>
                <w:b/>
              </w:rPr>
              <w:t>242,349,801</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b/>
              </w:rPr>
            </w:pPr>
            <w:r>
              <w:rPr>
                <w:b/>
              </w:rPr>
              <w:t>$</w:t>
            </w:r>
          </w:p>
        </w:tc>
        <w:tc>
          <w:tcPr>
            <w:tcW w:w="1350" w:type="dxa"/>
            <w:tcBorders/>
            <w:vAlign w:val="bottom"/>
          </w:tcPr>
          <w:p>
            <w:pPr>
              <w:pStyle w:val="TableContents"/>
              <w:bidi w:val="0"/>
              <w:spacing w:before="0" w:after="283"/>
              <w:jc w:val="right"/>
              <w:rPr>
                <w:b/>
              </w:rPr>
            </w:pPr>
            <w:r>
              <w:rPr>
                <w:b/>
              </w:rPr>
              <w:t>240,473,275</w:t>
            </w:r>
          </w:p>
        </w:tc>
        <w:tc>
          <w:tcPr>
            <w:tcW w:w="163" w:type="dxa"/>
            <w:tcBorders/>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5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CLASS A ORDINARY SHARES SUBJECT TO POSSIBLE REDEMPTION, AND SHAREHOLDERS’ DEFICIT</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7" w:type="dxa"/>
            <w:tcBorders/>
            <w:vAlign w:val="bottom"/>
          </w:tcPr>
          <w:p>
            <w:pPr>
              <w:pStyle w:val="TableContents"/>
              <w:bidi w:val="0"/>
              <w:spacing w:before="0" w:after="283"/>
              <w:jc w:val="right"/>
              <w:rPr/>
            </w:pPr>
            <w:r>
              <w:rPr/>
              <w:t>1,777,147</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350" w:type="dxa"/>
            <w:tcBorders/>
            <w:vAlign w:val="bottom"/>
          </w:tcPr>
          <w:p>
            <w:pPr>
              <w:pStyle w:val="TableContents"/>
              <w:bidi w:val="0"/>
              <w:spacing w:before="0" w:after="283"/>
              <w:jc w:val="right"/>
              <w:rPr/>
            </w:pPr>
            <w:r>
              <w:rPr/>
              <w:t>1,036,287</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offering costs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75,000</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75,000</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1,852,147</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1,111,287</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PIPE Subscription Agreements liability</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16,539,057</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15,274,088</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Deferred advisory fee</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6,900,000</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6,900,000</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underwriting fee</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6,900,000</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6,900,000</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b/>
              </w:rPr>
            </w:pPr>
            <w:r>
              <w:rPr>
                <w:b/>
              </w:rPr>
              <w:t>32,191,204</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b/>
              </w:rPr>
            </w:pPr>
            <w:r>
              <w:rPr>
                <w:b/>
              </w:rPr>
              <w:t>30,185,375</w:t>
            </w:r>
          </w:p>
        </w:tc>
        <w:tc>
          <w:tcPr>
            <w:tcW w:w="163" w:type="dxa"/>
            <w:tcBorders/>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6)</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 23,000,000 shares at redemption value of $10.48 and $10.39 per share as of March 31, 2026 and December 31, 2025, respectively</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241,144,179</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239,042,295</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SHAREHOLDERS’ DEFICIT</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Preference shares, $0.0001 par value; 5,000,000 shares authorized; none issued and outstanding as of March 31, 2026 and December 31, 2025</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$0.0001 par value; 500,000,000 shares authorized; none issued and outstanding (excluding 23,000,000 shares subject to possible redemption) as of March 31, 2026 and December 31, 2025</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Class B Ordinary Shares, $0.0001 par value; 50,000,000 shares authorized; 5,750,000 shares issued and outstanding as of March 31, 2026 and December 31, 2025, respectively</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575</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575</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(30,986,157</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(28,754,970</w:t>
            </w:r>
          </w:p>
        </w:tc>
        <w:tc>
          <w:tcPr>
            <w:tcW w:w="163" w:type="dxa"/>
            <w:tcBorders/>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SHAREHOLDERS’ DEFICIT</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b/>
              </w:rPr>
            </w:pPr>
            <w:r>
              <w:rPr>
                <w:b/>
              </w:rPr>
              <w:t>(30,985,582</w:t>
            </w:r>
          </w:p>
        </w:tc>
        <w:tc>
          <w:tcPr>
            <w:tcW w:w="156" w:type="dxa"/>
            <w:tcBorders/>
            <w:shd w:fill="CCEEFF" w:val="clear"/>
            <w:vAlign w:val="bottom"/>
          </w:tcPr>
          <w:p>
            <w:pPr>
              <w:pStyle w:val="TableContents"/>
              <w:bidi w:val="0"/>
              <w:spacing w:before="0" w:after="283"/>
              <w:jc w:val="left"/>
              <w:rPr>
                <w:b/>
              </w:rPr>
            </w:pPr>
            <w:r>
              <w:rPr>
                <w:b/>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b/>
              </w:rPr>
            </w:pPr>
            <w:r>
              <w:rPr>
                <w:b/>
              </w:rPr>
              <w:t>(28,754,395</w:t>
            </w:r>
          </w:p>
        </w:tc>
        <w:tc>
          <w:tcPr>
            <w:tcW w:w="163" w:type="dxa"/>
            <w:tcBorders/>
            <w:shd w:fill="CCEEFF" w:val="clear"/>
            <w:vAlign w:val="bottom"/>
          </w:tcPr>
          <w:p>
            <w:pPr>
              <w:pStyle w:val="TableContents"/>
              <w:bidi w:val="0"/>
              <w:spacing w:before="0" w:after="283"/>
              <w:jc w:val="left"/>
              <w:rPr>
                <w:b/>
              </w:rPr>
            </w:pPr>
            <w:r>
              <w:rPr>
                <w:b/>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CLASS A ORDINARY SHARES SUBJECT TO POSSIBLE REDEMPTION, AND SHAREHOLDERS’ DEFICIT</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47" w:type="dxa"/>
            <w:tcBorders/>
            <w:vAlign w:val="bottom"/>
          </w:tcPr>
          <w:p>
            <w:pPr>
              <w:pStyle w:val="TableContents"/>
              <w:bidi w:val="0"/>
              <w:spacing w:before="0" w:after="283"/>
              <w:jc w:val="right"/>
              <w:rPr>
                <w:b/>
              </w:rPr>
            </w:pPr>
            <w:r>
              <w:rPr>
                <w:b/>
              </w:rPr>
              <w:t>242,349,801</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b/>
              </w:rPr>
            </w:pPr>
            <w:r>
              <w:rPr>
                <w:b/>
              </w:rPr>
              <w:t>$</w:t>
            </w:r>
          </w:p>
        </w:tc>
        <w:tc>
          <w:tcPr>
            <w:tcW w:w="1350" w:type="dxa"/>
            <w:tcBorders/>
            <w:vAlign w:val="bottom"/>
          </w:tcPr>
          <w:p>
            <w:pPr>
              <w:pStyle w:val="TableContents"/>
              <w:bidi w:val="0"/>
              <w:spacing w:before="0" w:after="283"/>
              <w:jc w:val="right"/>
              <w:rPr>
                <w:b/>
              </w:rPr>
            </w:pPr>
            <w:r>
              <w:rPr>
                <w:b/>
              </w:rPr>
              <w:t>240,473,275</w:t>
            </w:r>
          </w:p>
        </w:tc>
        <w:tc>
          <w:tcPr>
            <w:tcW w:w="163" w:type="dxa"/>
            <w:tcBorders/>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5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bookmarkStart w:id="29" w:name="fintoc58823_21"/>
      <w:bookmarkEnd w:id="29"/>
      <w:r>
        <w:rPr>
          <w:rFonts w:ascii="Times New Roman" w:hAnsi="Times New Roman"/>
          <w:b/>
          <w:sz w:val="20"/>
        </w:rPr>
        <w:t xml:space="preserve">CONDENSED 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79"/>
        <w:gridCol w:w="307"/>
        <w:gridCol w:w="140"/>
        <w:gridCol w:w="1168"/>
        <w:gridCol w:w="165"/>
        <w:gridCol w:w="274"/>
        <w:gridCol w:w="140"/>
        <w:gridCol w:w="1063"/>
        <w:gridCol w:w="169"/>
      </w:tblGrid>
      <w:tr>
        <w:trPr/>
        <w:tc>
          <w:tcPr>
            <w:tcW w:w="6779"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77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9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w:t>
              <w:br/>
              <w:t>Three Months Ended</w:t>
              <w:br/>
              <w:t>March 31,</w:t>
            </w:r>
          </w:p>
        </w:tc>
        <w:tc>
          <w:tcPr>
            <w:tcW w:w="169" w:type="dxa"/>
            <w:tcBorders/>
            <w:vAlign w:val="bottom"/>
          </w:tcPr>
          <w:p>
            <w:pPr>
              <w:pStyle w:val="TableContents"/>
              <w:bidi w:val="0"/>
              <w:spacing w:before="0" w:after="283"/>
              <w:jc w:val="left"/>
              <w:rPr/>
            </w:pPr>
            <w:r>
              <w:rPr/>
              <w:t> </w:t>
            </w:r>
          </w:p>
        </w:tc>
      </w:tr>
      <w:tr>
        <w:trPr/>
        <w:tc>
          <w:tcPr>
            <w:tcW w:w="677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9" w:type="dxa"/>
            <w:tcBorders/>
            <w:vAlign w:val="bottom"/>
          </w:tcPr>
          <w:p>
            <w:pPr>
              <w:pStyle w:val="TableContents"/>
              <w:bidi w:val="0"/>
              <w:spacing w:before="0" w:after="283"/>
              <w:jc w:val="left"/>
              <w:rPr/>
            </w:pPr>
            <w:r>
              <w:rPr/>
              <w:t> </w:t>
            </w:r>
          </w:p>
        </w:tc>
      </w:tr>
      <w:tr>
        <w:trPr/>
        <w:tc>
          <w:tcPr>
            <w:tcW w:w="6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costs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966,218</w:t>
            </w:r>
          </w:p>
        </w:tc>
        <w:tc>
          <w:tcPr>
            <w:tcW w:w="16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121,696</w:t>
            </w:r>
          </w:p>
        </w:tc>
        <w:tc>
          <w:tcPr>
            <w:tcW w:w="169" w:type="dxa"/>
            <w:tcBorders/>
            <w:shd w:fill="CCEEFF" w:val="clear"/>
            <w:vAlign w:val="bottom"/>
          </w:tcPr>
          <w:p>
            <w:pPr>
              <w:pStyle w:val="TableContents"/>
              <w:bidi w:val="0"/>
              <w:spacing w:before="0" w:after="283"/>
              <w:jc w:val="left"/>
              <w:rPr/>
            </w:pPr>
            <w:r>
              <w:rPr/>
              <w:t> </w:t>
            </w:r>
          </w:p>
        </w:tc>
      </w:tr>
      <w:tr>
        <w:trPr/>
        <w:tc>
          <w:tcPr>
            <w:tcW w:w="6779" w:type="dxa"/>
            <w:tcBorders/>
          </w:tcPr>
          <w:p>
            <w:pPr>
              <w:pStyle w:val="TableContents"/>
              <w:bidi w:val="0"/>
              <w:spacing w:before="0" w:after="0"/>
              <w:jc w:val="left"/>
              <w:rPr>
                <w:rFonts w:ascii="Times New Roman" w:hAnsi="Times New Roman"/>
                <w:sz w:val="20"/>
              </w:rPr>
            </w:pPr>
            <w:r>
              <w:rPr>
                <w:rFonts w:ascii="Times New Roman" w:hAnsi="Times New Roman"/>
                <w:sz w:val="20"/>
              </w:rPr>
              <w:t>Advisory Fee</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6,900,000</w:t>
            </w:r>
          </w:p>
        </w:tc>
        <w:tc>
          <w:tcPr>
            <w:tcW w:w="169" w:type="dxa"/>
            <w:tcBorders/>
            <w:vAlign w:val="bottom"/>
          </w:tcPr>
          <w:p>
            <w:pPr>
              <w:pStyle w:val="TableContents"/>
              <w:bidi w:val="0"/>
              <w:spacing w:before="0" w:after="283"/>
              <w:jc w:val="left"/>
              <w:rPr/>
            </w:pPr>
            <w:r>
              <w:rPr/>
              <w:t> </w:t>
            </w:r>
          </w:p>
        </w:tc>
      </w:tr>
      <w:tr>
        <w:trPr/>
        <w:tc>
          <w:tcPr>
            <w:tcW w:w="67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77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b/>
              </w:rPr>
            </w:pPr>
            <w:r>
              <w:rPr>
                <w:b/>
              </w:rPr>
              <w:t>(966,218</w:t>
            </w:r>
          </w:p>
        </w:tc>
        <w:tc>
          <w:tcPr>
            <w:tcW w:w="165" w:type="dxa"/>
            <w:tcBorders/>
            <w:shd w:fill="CCEEFF" w:val="clear"/>
            <w:vAlign w:val="bottom"/>
          </w:tcPr>
          <w:p>
            <w:pPr>
              <w:pStyle w:val="TableContents"/>
              <w:bidi w:val="0"/>
              <w:spacing w:before="0" w:after="283"/>
              <w:jc w:val="left"/>
              <w:rPr>
                <w:b/>
              </w:rPr>
            </w:pPr>
            <w:r>
              <w:rPr>
                <w:b/>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b/>
              </w:rPr>
            </w:pPr>
            <w:r>
              <w:rPr>
                <w:b/>
              </w:rPr>
              <w:t>(7,021,696</w:t>
            </w:r>
          </w:p>
        </w:tc>
        <w:tc>
          <w:tcPr>
            <w:tcW w:w="169" w:type="dxa"/>
            <w:tcBorders/>
            <w:shd w:fill="CCEEFF" w:val="clear"/>
            <w:vAlign w:val="bottom"/>
          </w:tcPr>
          <w:p>
            <w:pPr>
              <w:pStyle w:val="TableContents"/>
              <w:bidi w:val="0"/>
              <w:spacing w:before="0" w:after="283"/>
              <w:jc w:val="left"/>
              <w:rPr>
                <w:b/>
              </w:rPr>
            </w:pPr>
            <w:r>
              <w:rPr>
                <w:b/>
              </w:rPr>
              <w:t>) </w:t>
            </w:r>
          </w:p>
        </w:tc>
      </w:tr>
      <w:tr>
        <w:trPr/>
        <w:tc>
          <w:tcPr>
            <w:tcW w:w="67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779"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INCOME (EXPENSE)</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68"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6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PIPE Subscription Agreements liability</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(1,264,969</w:t>
            </w:r>
          </w:p>
        </w:tc>
        <w:tc>
          <w:tcPr>
            <w:tcW w:w="16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r>
      <w:tr>
        <w:trPr/>
        <w:tc>
          <w:tcPr>
            <w:tcW w:w="6779" w:type="dxa"/>
            <w:tcBorders/>
          </w:tcPr>
          <w:p>
            <w:pPr>
              <w:pStyle w:val="TableContents"/>
              <w:bidi w:val="0"/>
              <w:spacing w:before="0" w:after="0"/>
              <w:jc w:val="left"/>
              <w:rPr>
                <w:rFonts w:ascii="Times New Roman" w:hAnsi="Times New Roman"/>
                <w:sz w:val="20"/>
              </w:rPr>
            </w:pPr>
            <w:r>
              <w:rPr>
                <w:rFonts w:ascii="Times New Roman" w:hAnsi="Times New Roman"/>
                <w:sz w:val="20"/>
              </w:rPr>
              <w:t>Interest earned on marketable securities held in Trust Account</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2,101,884</w:t>
            </w:r>
          </w:p>
        </w:tc>
        <w:tc>
          <w:tcPr>
            <w:tcW w:w="16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717,933</w:t>
            </w:r>
          </w:p>
        </w:tc>
        <w:tc>
          <w:tcPr>
            <w:tcW w:w="169" w:type="dxa"/>
            <w:tcBorders/>
            <w:vAlign w:val="bottom"/>
          </w:tcPr>
          <w:p>
            <w:pPr>
              <w:pStyle w:val="TableContents"/>
              <w:bidi w:val="0"/>
              <w:spacing w:before="0" w:after="283"/>
              <w:jc w:val="left"/>
              <w:rPr/>
            </w:pPr>
            <w:r>
              <w:rPr/>
              <w:t> </w:t>
            </w:r>
          </w:p>
        </w:tc>
      </w:tr>
      <w:tr>
        <w:trPr/>
        <w:tc>
          <w:tcPr>
            <w:tcW w:w="67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77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other income</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b/>
              </w:rPr>
            </w:pPr>
            <w:r>
              <w:rPr>
                <w:b/>
              </w:rPr>
              <w:t>836,915</w:t>
            </w:r>
          </w:p>
        </w:tc>
        <w:tc>
          <w:tcPr>
            <w:tcW w:w="16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b/>
              </w:rPr>
            </w:pPr>
            <w:r>
              <w:rPr>
                <w:b/>
              </w:rPr>
              <w:t>717,933</w:t>
            </w:r>
          </w:p>
        </w:tc>
        <w:tc>
          <w:tcPr>
            <w:tcW w:w="169" w:type="dxa"/>
            <w:tcBorders/>
            <w:shd w:fill="CCEEFF" w:val="clear"/>
            <w:vAlign w:val="bottom"/>
          </w:tcPr>
          <w:p>
            <w:pPr>
              <w:pStyle w:val="TableContents"/>
              <w:bidi w:val="0"/>
              <w:spacing w:before="0" w:after="283"/>
              <w:jc w:val="left"/>
              <w:rPr/>
            </w:pPr>
            <w:r>
              <w:rPr/>
              <w:t> </w:t>
            </w:r>
          </w:p>
        </w:tc>
      </w:tr>
      <w:tr>
        <w:trPr/>
        <w:tc>
          <w:tcPr>
            <w:tcW w:w="67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77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68" w:type="dxa"/>
            <w:tcBorders/>
            <w:vAlign w:val="bottom"/>
          </w:tcPr>
          <w:p>
            <w:pPr>
              <w:pStyle w:val="TableContents"/>
              <w:bidi w:val="0"/>
              <w:spacing w:before="0" w:after="283"/>
              <w:jc w:val="right"/>
              <w:rPr>
                <w:b/>
              </w:rPr>
            </w:pPr>
            <w:r>
              <w:rPr>
                <w:b/>
              </w:rPr>
              <w:t>(129,303</w:t>
            </w:r>
          </w:p>
        </w:tc>
        <w:tc>
          <w:tcPr>
            <w:tcW w:w="165" w:type="dxa"/>
            <w:tcBorders/>
            <w:vAlign w:val="bottom"/>
          </w:tcPr>
          <w:p>
            <w:pPr>
              <w:pStyle w:val="TableContents"/>
              <w:bidi w:val="0"/>
              <w:spacing w:before="0" w:after="283"/>
              <w:jc w:val="left"/>
              <w:rPr>
                <w:b/>
              </w:rPr>
            </w:pPr>
            <w:r>
              <w:rPr>
                <w:b/>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63" w:type="dxa"/>
            <w:tcBorders/>
            <w:vAlign w:val="bottom"/>
          </w:tcPr>
          <w:p>
            <w:pPr>
              <w:pStyle w:val="TableContents"/>
              <w:bidi w:val="0"/>
              <w:spacing w:before="0" w:after="283"/>
              <w:jc w:val="right"/>
              <w:rPr>
                <w:b/>
              </w:rPr>
            </w:pPr>
            <w:r>
              <w:rPr>
                <w:b/>
              </w:rPr>
              <w:t>(6,303,763</w:t>
            </w:r>
          </w:p>
        </w:tc>
        <w:tc>
          <w:tcPr>
            <w:tcW w:w="169" w:type="dxa"/>
            <w:tcBorders/>
            <w:vAlign w:val="bottom"/>
          </w:tcPr>
          <w:p>
            <w:pPr>
              <w:pStyle w:val="TableContents"/>
              <w:bidi w:val="0"/>
              <w:spacing w:before="0" w:after="283"/>
              <w:jc w:val="left"/>
              <w:rPr>
                <w:b/>
              </w:rPr>
            </w:pPr>
            <w:r>
              <w:rPr>
                <w:b/>
              </w:rPr>
              <w:t>) </w:t>
            </w:r>
          </w:p>
        </w:tc>
      </w:tr>
      <w:tr>
        <w:trPr/>
        <w:tc>
          <w:tcPr>
            <w:tcW w:w="67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Class A Ordinary Shares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23,000,000</w:t>
            </w:r>
          </w:p>
        </w:tc>
        <w:tc>
          <w:tcPr>
            <w:tcW w:w="16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7,411,111</w:t>
            </w:r>
          </w:p>
        </w:tc>
        <w:tc>
          <w:tcPr>
            <w:tcW w:w="169" w:type="dxa"/>
            <w:tcBorders/>
            <w:shd w:fill="CCEEFF" w:val="clear"/>
            <w:vAlign w:val="bottom"/>
          </w:tcPr>
          <w:p>
            <w:pPr>
              <w:pStyle w:val="TableContents"/>
              <w:bidi w:val="0"/>
              <w:spacing w:before="0" w:after="283"/>
              <w:jc w:val="left"/>
              <w:rPr/>
            </w:pPr>
            <w:r>
              <w:rPr/>
              <w:t> </w:t>
            </w:r>
          </w:p>
        </w:tc>
      </w:tr>
      <w:tr>
        <w:trPr/>
        <w:tc>
          <w:tcPr>
            <w:tcW w:w="67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77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loss per Ordinary Share, Class A Ordinary Shares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68" w:type="dxa"/>
            <w:tcBorders/>
            <w:vAlign w:val="bottom"/>
          </w:tcPr>
          <w:p>
            <w:pPr>
              <w:pStyle w:val="TableContents"/>
              <w:bidi w:val="0"/>
              <w:spacing w:before="0" w:after="283"/>
              <w:jc w:val="right"/>
              <w:rPr>
                <w:b/>
              </w:rPr>
            </w:pPr>
            <w:r>
              <w:rPr>
                <w:b/>
              </w:rPr>
              <w:t>(0.00</w:t>
            </w:r>
          </w:p>
        </w:tc>
        <w:tc>
          <w:tcPr>
            <w:tcW w:w="165" w:type="dxa"/>
            <w:tcBorders/>
            <w:vAlign w:val="bottom"/>
          </w:tcPr>
          <w:p>
            <w:pPr>
              <w:pStyle w:val="TableContents"/>
              <w:bidi w:val="0"/>
              <w:spacing w:before="0" w:after="283"/>
              <w:jc w:val="left"/>
              <w:rPr>
                <w:b/>
              </w:rPr>
            </w:pPr>
            <w:r>
              <w:rPr>
                <w:b/>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63" w:type="dxa"/>
            <w:tcBorders/>
            <w:vAlign w:val="bottom"/>
          </w:tcPr>
          <w:p>
            <w:pPr>
              <w:pStyle w:val="TableContents"/>
              <w:bidi w:val="0"/>
              <w:spacing w:before="0" w:after="283"/>
              <w:jc w:val="right"/>
              <w:rPr>
                <w:b/>
              </w:rPr>
            </w:pPr>
            <w:r>
              <w:rPr>
                <w:b/>
              </w:rPr>
              <w:t>(0.50</w:t>
            </w:r>
          </w:p>
        </w:tc>
        <w:tc>
          <w:tcPr>
            <w:tcW w:w="169" w:type="dxa"/>
            <w:tcBorders/>
            <w:vAlign w:val="bottom"/>
          </w:tcPr>
          <w:p>
            <w:pPr>
              <w:pStyle w:val="TableContents"/>
              <w:bidi w:val="0"/>
              <w:spacing w:before="0" w:after="283"/>
              <w:jc w:val="left"/>
              <w:rPr>
                <w:b/>
              </w:rPr>
            </w:pPr>
            <w:r>
              <w:rPr>
                <w:b/>
              </w:rPr>
              <w:t>) </w:t>
            </w:r>
          </w:p>
        </w:tc>
      </w:tr>
      <w:tr>
        <w:trPr/>
        <w:tc>
          <w:tcPr>
            <w:tcW w:w="67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Class B Ordinary Shares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5,750,000</w:t>
            </w:r>
          </w:p>
        </w:tc>
        <w:tc>
          <w:tcPr>
            <w:tcW w:w="16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5,241,667</w:t>
            </w:r>
          </w:p>
        </w:tc>
        <w:tc>
          <w:tcPr>
            <w:tcW w:w="169" w:type="dxa"/>
            <w:tcBorders/>
            <w:shd w:fill="CCEEFF" w:val="clear"/>
            <w:vAlign w:val="bottom"/>
          </w:tcPr>
          <w:p>
            <w:pPr>
              <w:pStyle w:val="TableContents"/>
              <w:bidi w:val="0"/>
              <w:spacing w:before="0" w:after="283"/>
              <w:jc w:val="left"/>
              <w:rPr/>
            </w:pPr>
            <w:r>
              <w:rPr/>
              <w:t> </w:t>
            </w:r>
          </w:p>
        </w:tc>
      </w:tr>
      <w:tr>
        <w:trPr/>
        <w:tc>
          <w:tcPr>
            <w:tcW w:w="67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77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loss per Ordinary Share, Class B Ordinary Shares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68" w:type="dxa"/>
            <w:tcBorders/>
            <w:vAlign w:val="bottom"/>
          </w:tcPr>
          <w:p>
            <w:pPr>
              <w:pStyle w:val="TableContents"/>
              <w:bidi w:val="0"/>
              <w:spacing w:before="0" w:after="283"/>
              <w:jc w:val="right"/>
              <w:rPr>
                <w:b/>
              </w:rPr>
            </w:pPr>
            <w:r>
              <w:rPr>
                <w:b/>
              </w:rPr>
              <w:t>(0.00</w:t>
            </w:r>
          </w:p>
        </w:tc>
        <w:tc>
          <w:tcPr>
            <w:tcW w:w="165" w:type="dxa"/>
            <w:tcBorders/>
            <w:vAlign w:val="bottom"/>
          </w:tcPr>
          <w:p>
            <w:pPr>
              <w:pStyle w:val="TableContents"/>
              <w:bidi w:val="0"/>
              <w:spacing w:before="0" w:after="283"/>
              <w:jc w:val="left"/>
              <w:rPr>
                <w:b/>
              </w:rPr>
            </w:pPr>
            <w:r>
              <w:rPr>
                <w:b/>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63" w:type="dxa"/>
            <w:tcBorders/>
            <w:vAlign w:val="bottom"/>
          </w:tcPr>
          <w:p>
            <w:pPr>
              <w:pStyle w:val="TableContents"/>
              <w:bidi w:val="0"/>
              <w:spacing w:before="0" w:after="283"/>
              <w:jc w:val="right"/>
              <w:rPr>
                <w:b/>
              </w:rPr>
            </w:pPr>
            <w:r>
              <w:rPr>
                <w:b/>
              </w:rPr>
              <w:t>(0.50</w:t>
            </w:r>
          </w:p>
        </w:tc>
        <w:tc>
          <w:tcPr>
            <w:tcW w:w="169" w:type="dxa"/>
            <w:tcBorders/>
            <w:vAlign w:val="bottom"/>
          </w:tcPr>
          <w:p>
            <w:pPr>
              <w:pStyle w:val="TableContents"/>
              <w:bidi w:val="0"/>
              <w:spacing w:before="0" w:after="283"/>
              <w:jc w:val="left"/>
              <w:rPr>
                <w:b/>
              </w:rPr>
            </w:pPr>
            <w:r>
              <w:rPr>
                <w:b/>
              </w:rPr>
              <w:t>) </w:t>
            </w:r>
          </w:p>
        </w:tc>
      </w:tr>
      <w:tr>
        <w:trPr/>
        <w:tc>
          <w:tcPr>
            <w:tcW w:w="67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bookmarkStart w:id="30" w:name="fintoc58823_22"/>
      <w:bookmarkEnd w:id="30"/>
      <w:r>
        <w:rPr>
          <w:rFonts w:ascii="Times New Roman" w:hAnsi="Times New Roman"/>
          <w:b/>
          <w:sz w:val="20"/>
        </w:rPr>
        <w:t xml:space="preserve">CONDENSED CONSOLIDATED STATEMENTS OF CHANGES IN SHAREHOLDERS’ DEFICIT (UNAUDITED)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THREE MONTHS ENDED MARCH 31,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4"/>
        <w:gridCol w:w="80"/>
        <w:gridCol w:w="96"/>
        <w:gridCol w:w="624"/>
        <w:gridCol w:w="60"/>
        <w:gridCol w:w="80"/>
        <w:gridCol w:w="233"/>
        <w:gridCol w:w="639"/>
        <w:gridCol w:w="60"/>
        <w:gridCol w:w="80"/>
        <w:gridCol w:w="60"/>
        <w:gridCol w:w="999"/>
        <w:gridCol w:w="60"/>
        <w:gridCol w:w="79"/>
        <w:gridCol w:w="233"/>
        <w:gridCol w:w="639"/>
        <w:gridCol w:w="60"/>
        <w:gridCol w:w="80"/>
        <w:gridCol w:w="296"/>
        <w:gridCol w:w="818"/>
        <w:gridCol w:w="60"/>
        <w:gridCol w:w="80"/>
        <w:gridCol w:w="145"/>
        <w:gridCol w:w="1246"/>
        <w:gridCol w:w="155"/>
        <w:gridCol w:w="80"/>
        <w:gridCol w:w="152"/>
        <w:gridCol w:w="1310"/>
        <w:gridCol w:w="167"/>
      </w:tblGrid>
      <w:tr>
        <w:trPr/>
        <w:tc>
          <w:tcPr>
            <w:tcW w:w="1534"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53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7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Ordinary</w:t>
              <w:br/>
              <w:t>Shares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0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br/>
              <w:t>Ordinary Shares</w:t>
            </w:r>
          </w:p>
        </w:tc>
        <w:tc>
          <w:tcPr>
            <w:tcW w:w="60" w:type="dxa"/>
            <w:tcBorders/>
            <w:vAlign w:val="bottom"/>
          </w:tcPr>
          <w:p>
            <w:pPr>
              <w:pStyle w:val="TableContents"/>
              <w:bidi w:val="0"/>
              <w:spacing w:before="0" w:after="283"/>
              <w:jc w:val="left"/>
              <w:rPr/>
            </w:pPr>
            <w:r>
              <w:rPr/>
              <w:t> </w:t>
            </w:r>
          </w:p>
        </w:tc>
        <w:tc>
          <w:tcPr>
            <w:tcW w:w="80" w:type="dxa"/>
            <w:vMerge w:val="restart"/>
            <w:tcBorders/>
            <w:vAlign w:val="bottom"/>
          </w:tcPr>
          <w:p>
            <w:pPr>
              <w:pStyle w:val="TableContents"/>
              <w:bidi w:val="0"/>
              <w:spacing w:before="0" w:after="283"/>
              <w:jc w:val="left"/>
              <w:rPr/>
            </w:pPr>
            <w:r>
              <w:rPr/>
              <w:t> </w:t>
            </w:r>
          </w:p>
        </w:tc>
        <w:tc>
          <w:tcPr>
            <w:tcW w:w="111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80" w:type="dxa"/>
            <w:vMerge w:val="restart"/>
            <w:tcBorders/>
            <w:vAlign w:val="bottom"/>
          </w:tcPr>
          <w:p>
            <w:pPr>
              <w:pStyle w:val="TableContents"/>
              <w:bidi w:val="0"/>
              <w:spacing w:before="0" w:after="283"/>
              <w:jc w:val="left"/>
              <w:rPr/>
            </w:pPr>
            <w:r>
              <w:rPr/>
              <w:t> </w:t>
            </w:r>
          </w:p>
        </w:tc>
        <w:tc>
          <w:tcPr>
            <w:tcW w:w="1391"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80" w:type="dxa"/>
            <w:vMerge w:val="restart"/>
            <w:tcBorders/>
            <w:vAlign w:val="bottom"/>
          </w:tcPr>
          <w:p>
            <w:pPr>
              <w:pStyle w:val="TableContents"/>
              <w:bidi w:val="0"/>
              <w:spacing w:before="0" w:after="283"/>
              <w:jc w:val="left"/>
              <w:rPr/>
            </w:pPr>
            <w:r>
              <w:rPr/>
              <w:t> </w:t>
            </w:r>
          </w:p>
        </w:tc>
        <w:tc>
          <w:tcPr>
            <w:tcW w:w="1462"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Shareholders’</w:t>
              <w:br/>
            </w:r>
            <w:r>
              <w:rPr/>
              <w:br/>
            </w:r>
            <w:r>
              <w:rPr>
                <w:b/>
              </w:rPr>
              <w:t>Deficit</w:t>
            </w:r>
          </w:p>
        </w:tc>
        <w:tc>
          <w:tcPr>
            <w:tcW w:w="167" w:type="dxa"/>
            <w:vMerge w:val="restart"/>
            <w:tcBorders/>
            <w:vAlign w:val="bottom"/>
          </w:tcPr>
          <w:p>
            <w:pPr>
              <w:pStyle w:val="TableContents"/>
              <w:bidi w:val="0"/>
              <w:spacing w:before="0" w:after="283"/>
              <w:jc w:val="left"/>
              <w:rPr/>
            </w:pPr>
            <w:r>
              <w:rPr/>
              <w:t> </w:t>
            </w:r>
          </w:p>
        </w:tc>
      </w:tr>
      <w:tr>
        <w:trPr/>
        <w:tc>
          <w:tcPr>
            <w:tcW w:w="153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80" w:type="dxa"/>
            <w:vMerge w:val="continue"/>
            <w:tcBorders/>
            <w:vAlign w:val="bottom"/>
          </w:tcPr>
          <w:p>
            <w:pPr>
              <w:pStyle w:val="Normal"/>
              <w:bidi w:val="0"/>
              <w:jc w:val="left"/>
              <w:rPr/>
            </w:pPr>
            <w:r>
              <w:rPr/>
            </w:r>
          </w:p>
        </w:tc>
        <w:tc>
          <w:tcPr>
            <w:tcW w:w="1114"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80" w:type="dxa"/>
            <w:vMerge w:val="continue"/>
            <w:tcBorders>
              <w:bottom w:val="single" w:sz="8" w:space="0" w:color="000000"/>
            </w:tcBorders>
            <w:tcMar>
              <w:bottom w:w="28" w:type="dxa"/>
            </w:tcMar>
            <w:vAlign w:val="bottom"/>
          </w:tcPr>
          <w:p>
            <w:pPr>
              <w:pStyle w:val="Normal"/>
              <w:bidi w:val="0"/>
              <w:jc w:val="left"/>
              <w:rPr/>
            </w:pPr>
            <w:r>
              <w:rPr/>
            </w:r>
          </w:p>
        </w:tc>
        <w:tc>
          <w:tcPr>
            <w:tcW w:w="1391"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80" w:type="dxa"/>
            <w:vMerge w:val="continue"/>
            <w:tcBorders/>
            <w:vAlign w:val="bottom"/>
          </w:tcPr>
          <w:p>
            <w:pPr>
              <w:pStyle w:val="Normal"/>
              <w:bidi w:val="0"/>
              <w:jc w:val="left"/>
              <w:rPr/>
            </w:pPr>
            <w:r>
              <w:rPr/>
            </w:r>
          </w:p>
        </w:tc>
        <w:tc>
          <w:tcPr>
            <w:tcW w:w="1462" w:type="dxa"/>
            <w:gridSpan w:val="2"/>
            <w:vMerge w:val="continue"/>
            <w:tcBorders>
              <w:bottom w:val="single" w:sz="8" w:space="0" w:color="000000"/>
            </w:tcBorders>
            <w:tcMar>
              <w:bottom w:w="28" w:type="dxa"/>
            </w:tcMar>
            <w:vAlign w:val="bottom"/>
          </w:tcPr>
          <w:p>
            <w:pPr>
              <w:pStyle w:val="Normal"/>
              <w:bidi w:val="0"/>
              <w:jc w:val="left"/>
              <w:rPr/>
            </w:pPr>
            <w:r>
              <w:rPr/>
            </w:r>
          </w:p>
        </w:tc>
        <w:tc>
          <w:tcPr>
            <w:tcW w:w="167" w:type="dxa"/>
            <w:vMerge w:val="continue"/>
            <w:tcBorders/>
            <w:vAlign w:val="bottom"/>
          </w:tcPr>
          <w:p>
            <w:pPr>
              <w:pStyle w:val="Normal"/>
              <w:bidi w:val="0"/>
              <w:jc w:val="left"/>
              <w:rPr/>
            </w:pPr>
            <w:r>
              <w:rPr/>
            </w:r>
          </w:p>
        </w:tc>
      </w:tr>
      <w:tr>
        <w:trPr/>
        <w:tc>
          <w:tcPr>
            <w:tcW w:w="15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 January 1, 2026</w:t>
            </w:r>
          </w:p>
        </w:tc>
        <w:tc>
          <w:tcPr>
            <w:tcW w:w="8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b/>
              </w:rPr>
            </w:pPr>
            <w:r>
              <w:rPr>
                <w:b/>
              </w:rPr>
              <w:t>$</w:t>
            </w:r>
          </w:p>
        </w:tc>
        <w:tc>
          <w:tcPr>
            <w:tcW w:w="6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5,750,000</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b/>
              </w:rPr>
            </w:pPr>
            <w:r>
              <w:rPr>
                <w:b/>
              </w:rPr>
              <w:t>$</w:t>
            </w:r>
          </w:p>
        </w:tc>
        <w:tc>
          <w:tcPr>
            <w:tcW w:w="639" w:type="dxa"/>
            <w:tcBorders/>
            <w:shd w:fill="CCEEFF" w:val="clear"/>
            <w:vAlign w:val="bottom"/>
          </w:tcPr>
          <w:p>
            <w:pPr>
              <w:pStyle w:val="TableContents"/>
              <w:bidi w:val="0"/>
              <w:spacing w:before="0" w:after="283"/>
              <w:jc w:val="right"/>
              <w:rPr>
                <w:b/>
              </w:rPr>
            </w:pPr>
            <w:r>
              <w:rPr>
                <w:b/>
              </w:rPr>
              <w:t>575</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b/>
              </w:rPr>
            </w:pPr>
            <w:r>
              <w:rPr>
                <w:b/>
              </w:rPr>
              <w:t>$</w:t>
            </w:r>
          </w:p>
        </w:tc>
        <w:tc>
          <w:tcPr>
            <w:tcW w:w="8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b/>
              </w:rPr>
            </w:pPr>
            <w:r>
              <w:rPr>
                <w:b/>
              </w:rPr>
              <w:t>(28,754,970</w:t>
            </w:r>
          </w:p>
        </w:tc>
        <w:tc>
          <w:tcPr>
            <w:tcW w:w="155" w:type="dxa"/>
            <w:tcBorders/>
            <w:shd w:fill="CCEEFF" w:val="clear"/>
            <w:vAlign w:val="bottom"/>
          </w:tcPr>
          <w:p>
            <w:pPr>
              <w:pStyle w:val="TableContents"/>
              <w:bidi w:val="0"/>
              <w:spacing w:before="0" w:after="283"/>
              <w:jc w:val="left"/>
              <w:rPr>
                <w:b/>
              </w:rPr>
            </w:pPr>
            <w:r>
              <w:rPr>
                <w:b/>
              </w:rPr>
              <w:t>) </w:t>
            </w:r>
          </w:p>
        </w:tc>
        <w:tc>
          <w:tcPr>
            <w:tcW w:w="8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b/>
              </w:rPr>
            </w:pPr>
            <w:r>
              <w:rPr>
                <w:b/>
              </w:rPr>
              <w:t>$</w:t>
            </w:r>
          </w:p>
        </w:tc>
        <w:tc>
          <w:tcPr>
            <w:tcW w:w="1310" w:type="dxa"/>
            <w:tcBorders/>
            <w:shd w:fill="CCEEFF" w:val="clear"/>
            <w:vAlign w:val="bottom"/>
          </w:tcPr>
          <w:p>
            <w:pPr>
              <w:pStyle w:val="TableContents"/>
              <w:bidi w:val="0"/>
              <w:spacing w:before="0" w:after="283"/>
              <w:jc w:val="right"/>
              <w:rPr>
                <w:b/>
              </w:rPr>
            </w:pPr>
            <w:r>
              <w:rPr>
                <w:b/>
              </w:rPr>
              <w:t>(28,754,395</w:t>
            </w:r>
          </w:p>
        </w:tc>
        <w:tc>
          <w:tcPr>
            <w:tcW w:w="167" w:type="dxa"/>
            <w:tcBorders/>
            <w:shd w:fill="CCEEFF" w:val="clear"/>
            <w:vAlign w:val="bottom"/>
          </w:tcPr>
          <w:p>
            <w:pPr>
              <w:pStyle w:val="TableContents"/>
              <w:bidi w:val="0"/>
              <w:spacing w:before="0" w:after="283"/>
              <w:jc w:val="left"/>
              <w:rPr>
                <w:b/>
              </w:rPr>
            </w:pPr>
            <w:r>
              <w:rPr>
                <w:b/>
              </w:rPr>
              <w:t>) </w:t>
            </w:r>
          </w:p>
        </w:tc>
      </w:tr>
      <w:tr>
        <w:trPr/>
        <w:tc>
          <w:tcPr>
            <w:tcW w:w="1534" w:type="dxa"/>
            <w:tcBorders/>
          </w:tcPr>
          <w:p>
            <w:pPr>
              <w:pStyle w:val="TableContents"/>
              <w:bidi w:val="0"/>
              <w:spacing w:before="0" w:after="0"/>
              <w:jc w:val="left"/>
              <w:rPr>
                <w:rFonts w:ascii="Times New Roman" w:hAnsi="Times New Roman"/>
                <w:sz w:val="20"/>
              </w:rPr>
            </w:pPr>
            <w:r>
              <w:rPr>
                <w:rFonts w:ascii="Times New Roman" w:hAnsi="Times New Roman"/>
                <w:sz w:val="20"/>
              </w:rPr>
              <w:t>Accretion for Class A Ordinary Shares to redemption amount</w:t>
            </w:r>
          </w:p>
        </w:tc>
        <w:tc>
          <w:tcPr>
            <w:tcW w:w="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(2,101,884</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(2,101,884</w:t>
            </w:r>
          </w:p>
        </w:tc>
        <w:tc>
          <w:tcPr>
            <w:tcW w:w="167" w:type="dxa"/>
            <w:tcBorders/>
            <w:vAlign w:val="bottom"/>
          </w:tcPr>
          <w:p>
            <w:pPr>
              <w:pStyle w:val="TableContents"/>
              <w:bidi w:val="0"/>
              <w:spacing w:before="0" w:after="283"/>
              <w:jc w:val="left"/>
              <w:rPr/>
            </w:pPr>
            <w:r>
              <w:rPr/>
              <w:t>) </w:t>
            </w:r>
          </w:p>
        </w:tc>
      </w:tr>
      <w:tr>
        <w:trPr/>
        <w:tc>
          <w:tcPr>
            <w:tcW w:w="1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8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(129,303</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(129,303</w:t>
            </w:r>
          </w:p>
        </w:tc>
        <w:tc>
          <w:tcPr>
            <w:tcW w:w="167" w:type="dxa"/>
            <w:tcBorders/>
            <w:shd w:fill="CCEEFF" w:val="clear"/>
            <w:vAlign w:val="bottom"/>
          </w:tcPr>
          <w:p>
            <w:pPr>
              <w:pStyle w:val="TableContents"/>
              <w:bidi w:val="0"/>
              <w:spacing w:before="0" w:after="283"/>
              <w:jc w:val="left"/>
              <w:rPr/>
            </w:pPr>
            <w:r>
              <w:rPr/>
              <w:t>) </w:t>
            </w:r>
          </w:p>
        </w:tc>
      </w:tr>
      <w:tr>
        <w:trPr/>
        <w:tc>
          <w:tcPr>
            <w:tcW w:w="15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153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 March 31, 2026 (unaudited)</w:t>
            </w:r>
          </w:p>
        </w:tc>
        <w:tc>
          <w:tcPr>
            <w:tcW w:w="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b/>
              </w:rPr>
            </w:pPr>
            <w:r>
              <w:rPr>
                <w:b/>
              </w:rPr>
              <w:t>$</w:t>
            </w:r>
          </w:p>
        </w:tc>
        <w:tc>
          <w:tcPr>
            <w:tcW w:w="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5,750,000</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b/>
              </w:rPr>
            </w:pPr>
            <w:r>
              <w:rPr>
                <w:b/>
              </w:rPr>
              <w:t>$</w:t>
            </w:r>
          </w:p>
        </w:tc>
        <w:tc>
          <w:tcPr>
            <w:tcW w:w="639" w:type="dxa"/>
            <w:tcBorders/>
            <w:vAlign w:val="bottom"/>
          </w:tcPr>
          <w:p>
            <w:pPr>
              <w:pStyle w:val="TableContents"/>
              <w:bidi w:val="0"/>
              <w:spacing w:before="0" w:after="283"/>
              <w:jc w:val="right"/>
              <w:rPr>
                <w:b/>
              </w:rPr>
            </w:pPr>
            <w:r>
              <w:rPr>
                <w:b/>
              </w:rPr>
              <w:t>575</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b/>
              </w:rPr>
            </w:pPr>
            <w:r>
              <w:rPr>
                <w:b/>
              </w:rPr>
              <w:t>$</w:t>
            </w:r>
          </w:p>
        </w:tc>
        <w:tc>
          <w:tcPr>
            <w:tcW w:w="8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46" w:type="dxa"/>
            <w:tcBorders/>
            <w:vAlign w:val="bottom"/>
          </w:tcPr>
          <w:p>
            <w:pPr>
              <w:pStyle w:val="TableContents"/>
              <w:bidi w:val="0"/>
              <w:spacing w:before="0" w:after="283"/>
              <w:jc w:val="right"/>
              <w:rPr>
                <w:b/>
              </w:rPr>
            </w:pPr>
            <w:r>
              <w:rPr>
                <w:b/>
              </w:rPr>
              <w:t>(30,986,157</w:t>
            </w:r>
          </w:p>
        </w:tc>
        <w:tc>
          <w:tcPr>
            <w:tcW w:w="155" w:type="dxa"/>
            <w:tcBorders/>
            <w:vAlign w:val="bottom"/>
          </w:tcPr>
          <w:p>
            <w:pPr>
              <w:pStyle w:val="TableContents"/>
              <w:bidi w:val="0"/>
              <w:spacing w:before="0" w:after="283"/>
              <w:jc w:val="left"/>
              <w:rPr>
                <w:b/>
              </w:rPr>
            </w:pPr>
            <w:r>
              <w:rPr>
                <w:b/>
              </w:rPr>
              <w:t>) </w:t>
            </w:r>
          </w:p>
        </w:tc>
        <w:tc>
          <w:tcPr>
            <w:tcW w:w="8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b/>
              </w:rPr>
            </w:pPr>
            <w:r>
              <w:rPr>
                <w:b/>
              </w:rPr>
              <w:t>$</w:t>
            </w:r>
          </w:p>
        </w:tc>
        <w:tc>
          <w:tcPr>
            <w:tcW w:w="1310" w:type="dxa"/>
            <w:tcBorders/>
            <w:vAlign w:val="bottom"/>
          </w:tcPr>
          <w:p>
            <w:pPr>
              <w:pStyle w:val="TableContents"/>
              <w:bidi w:val="0"/>
              <w:spacing w:before="0" w:after="283"/>
              <w:jc w:val="right"/>
              <w:rPr>
                <w:b/>
              </w:rPr>
            </w:pPr>
            <w:r>
              <w:rPr>
                <w:b/>
              </w:rPr>
              <w:t>(30,985,582</w:t>
            </w:r>
          </w:p>
        </w:tc>
        <w:tc>
          <w:tcPr>
            <w:tcW w:w="167" w:type="dxa"/>
            <w:tcBorders/>
            <w:vAlign w:val="bottom"/>
          </w:tcPr>
          <w:p>
            <w:pPr>
              <w:pStyle w:val="TableContents"/>
              <w:bidi w:val="0"/>
              <w:spacing w:before="0" w:after="283"/>
              <w:jc w:val="left"/>
              <w:rPr>
                <w:b/>
              </w:rPr>
            </w:pPr>
            <w:r>
              <w:rPr>
                <w:b/>
              </w:rPr>
              <w:t>) </w:t>
            </w:r>
          </w:p>
        </w:tc>
      </w:tr>
      <w:tr>
        <w:trPr/>
        <w:tc>
          <w:tcPr>
            <w:tcW w:w="15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6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6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6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double" w:sz="6" w:space="1" w:color="000000"/>
              </w:pBdr>
              <w:bidi w:val="0"/>
              <w:spacing w:before="0" w:after="0"/>
              <w:jc w:val="left"/>
              <w:rPr/>
            </w:pPr>
            <w:r>
              <w:rPr/>
              <w:t> </w:t>
            </w:r>
          </w:p>
        </w:tc>
        <w:tc>
          <w:tcPr>
            <w:tcW w:w="8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310"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THREE MONTHS ENDED MARCH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15"/>
        <w:gridCol w:w="76"/>
        <w:gridCol w:w="96"/>
        <w:gridCol w:w="617"/>
        <w:gridCol w:w="60"/>
        <w:gridCol w:w="76"/>
        <w:gridCol w:w="208"/>
        <w:gridCol w:w="655"/>
        <w:gridCol w:w="60"/>
        <w:gridCol w:w="76"/>
        <w:gridCol w:w="60"/>
        <w:gridCol w:w="988"/>
        <w:gridCol w:w="60"/>
        <w:gridCol w:w="76"/>
        <w:gridCol w:w="231"/>
        <w:gridCol w:w="632"/>
        <w:gridCol w:w="60"/>
        <w:gridCol w:w="76"/>
        <w:gridCol w:w="140"/>
        <w:gridCol w:w="1068"/>
        <w:gridCol w:w="155"/>
        <w:gridCol w:w="76"/>
        <w:gridCol w:w="145"/>
        <w:gridCol w:w="1242"/>
        <w:gridCol w:w="155"/>
        <w:gridCol w:w="76"/>
        <w:gridCol w:w="153"/>
        <w:gridCol w:w="1306"/>
        <w:gridCol w:w="167"/>
      </w:tblGrid>
      <w:tr>
        <w:trPr/>
        <w:tc>
          <w:tcPr>
            <w:tcW w:w="1415"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71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Ordinary</w:t>
              <w:br/>
              <w:t>Shares</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0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br/>
              <w:t>Ordinary Shares</w:t>
            </w:r>
          </w:p>
        </w:tc>
        <w:tc>
          <w:tcPr>
            <w:tcW w:w="60" w:type="dxa"/>
            <w:tcBorders/>
            <w:vAlign w:val="bottom"/>
          </w:tcPr>
          <w:p>
            <w:pPr>
              <w:pStyle w:val="TableContents"/>
              <w:bidi w:val="0"/>
              <w:spacing w:before="0" w:after="283"/>
              <w:jc w:val="left"/>
              <w:rPr/>
            </w:pPr>
            <w:r>
              <w:rPr/>
              <w:t> </w:t>
            </w:r>
          </w:p>
        </w:tc>
        <w:tc>
          <w:tcPr>
            <w:tcW w:w="76" w:type="dxa"/>
            <w:vMerge w:val="restart"/>
            <w:tcBorders/>
            <w:vAlign w:val="bottom"/>
          </w:tcPr>
          <w:p>
            <w:pPr>
              <w:pStyle w:val="TableContents"/>
              <w:bidi w:val="0"/>
              <w:spacing w:before="0" w:after="283"/>
              <w:jc w:val="left"/>
              <w:rPr/>
            </w:pPr>
            <w:r>
              <w:rPr/>
              <w:t> </w:t>
            </w:r>
          </w:p>
        </w:tc>
        <w:tc>
          <w:tcPr>
            <w:tcW w:w="1208"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76" w:type="dxa"/>
            <w:vMerge w:val="restart"/>
            <w:tcBorders/>
            <w:vAlign w:val="bottom"/>
          </w:tcPr>
          <w:p>
            <w:pPr>
              <w:pStyle w:val="TableContents"/>
              <w:bidi w:val="0"/>
              <w:spacing w:before="0" w:after="283"/>
              <w:jc w:val="left"/>
              <w:rPr/>
            </w:pPr>
            <w:r>
              <w:rPr/>
              <w:t> </w:t>
            </w:r>
          </w:p>
        </w:tc>
        <w:tc>
          <w:tcPr>
            <w:tcW w:w="1387"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76" w:type="dxa"/>
            <w:vMerge w:val="restart"/>
            <w:tcBorders/>
            <w:vAlign w:val="bottom"/>
          </w:tcPr>
          <w:p>
            <w:pPr>
              <w:pStyle w:val="TableContents"/>
              <w:bidi w:val="0"/>
              <w:spacing w:before="0" w:after="283"/>
              <w:jc w:val="left"/>
              <w:rPr/>
            </w:pPr>
            <w:r>
              <w:rPr/>
              <w:t> </w:t>
            </w:r>
          </w:p>
        </w:tc>
        <w:tc>
          <w:tcPr>
            <w:tcW w:w="1459"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Shareholders’</w:t>
            </w:r>
            <w:r>
              <w:rPr/>
              <w:br/>
            </w:r>
            <w:r>
              <w:rPr>
                <w:b/>
              </w:rPr>
              <w:t>Deficit</w:t>
            </w:r>
          </w:p>
        </w:tc>
        <w:tc>
          <w:tcPr>
            <w:tcW w:w="167" w:type="dxa"/>
            <w:vMerge w:val="restart"/>
            <w:tcBorders/>
            <w:vAlign w:val="bottom"/>
          </w:tcPr>
          <w:p>
            <w:pPr>
              <w:pStyle w:val="TableContents"/>
              <w:bidi w:val="0"/>
              <w:spacing w:before="0" w:after="283"/>
              <w:jc w:val="left"/>
              <w:rPr/>
            </w:pPr>
            <w:r>
              <w:rPr/>
              <w:t> </w:t>
            </w:r>
          </w:p>
        </w:tc>
      </w:tr>
      <w:tr>
        <w:trPr/>
        <w:tc>
          <w:tcPr>
            <w:tcW w:w="141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76" w:type="dxa"/>
            <w:vMerge w:val="continue"/>
            <w:tcBorders/>
            <w:vAlign w:val="bottom"/>
          </w:tcPr>
          <w:p>
            <w:pPr>
              <w:pStyle w:val="Normal"/>
              <w:bidi w:val="0"/>
              <w:jc w:val="left"/>
              <w:rPr/>
            </w:pPr>
            <w:r>
              <w:rPr/>
            </w:r>
          </w:p>
        </w:tc>
        <w:tc>
          <w:tcPr>
            <w:tcW w:w="1208"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76" w:type="dxa"/>
            <w:vMerge w:val="continue"/>
            <w:tcBorders>
              <w:bottom w:val="single" w:sz="8" w:space="0" w:color="000000"/>
            </w:tcBorders>
            <w:tcMar>
              <w:bottom w:w="28" w:type="dxa"/>
            </w:tcMar>
            <w:vAlign w:val="bottom"/>
          </w:tcPr>
          <w:p>
            <w:pPr>
              <w:pStyle w:val="Normal"/>
              <w:bidi w:val="0"/>
              <w:jc w:val="left"/>
              <w:rPr/>
            </w:pPr>
            <w:r>
              <w:rPr/>
            </w:r>
          </w:p>
        </w:tc>
        <w:tc>
          <w:tcPr>
            <w:tcW w:w="1387"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76" w:type="dxa"/>
            <w:vMerge w:val="continue"/>
            <w:tcBorders/>
            <w:vAlign w:val="bottom"/>
          </w:tcPr>
          <w:p>
            <w:pPr>
              <w:pStyle w:val="Normal"/>
              <w:bidi w:val="0"/>
              <w:jc w:val="left"/>
              <w:rPr/>
            </w:pPr>
            <w:r>
              <w:rPr/>
            </w:r>
          </w:p>
        </w:tc>
        <w:tc>
          <w:tcPr>
            <w:tcW w:w="1459" w:type="dxa"/>
            <w:gridSpan w:val="2"/>
            <w:vMerge w:val="continue"/>
            <w:tcBorders>
              <w:bottom w:val="single" w:sz="8" w:space="0" w:color="000000"/>
            </w:tcBorders>
            <w:tcMar>
              <w:bottom w:w="28" w:type="dxa"/>
            </w:tcMar>
            <w:vAlign w:val="bottom"/>
          </w:tcPr>
          <w:p>
            <w:pPr>
              <w:pStyle w:val="Normal"/>
              <w:bidi w:val="0"/>
              <w:jc w:val="left"/>
              <w:rPr/>
            </w:pPr>
            <w:r>
              <w:rPr/>
            </w:r>
          </w:p>
        </w:tc>
        <w:tc>
          <w:tcPr>
            <w:tcW w:w="167" w:type="dxa"/>
            <w:vMerge w:val="continue"/>
            <w:tcBorders/>
            <w:vAlign w:val="bottom"/>
          </w:tcPr>
          <w:p>
            <w:pPr>
              <w:pStyle w:val="Normal"/>
              <w:bidi w:val="0"/>
              <w:jc w:val="left"/>
              <w:rPr/>
            </w:pPr>
            <w:r>
              <w:rPr/>
            </w:r>
          </w:p>
        </w:tc>
      </w:tr>
      <w:tr>
        <w:trPr/>
        <w:tc>
          <w:tcPr>
            <w:tcW w:w="14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 January 1, 2025 (audited)</w:t>
            </w:r>
          </w:p>
        </w:tc>
        <w:tc>
          <w:tcPr>
            <w:tcW w:w="7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b/>
              </w:rPr>
            </w:pPr>
            <w:r>
              <w:rPr>
                <w:b/>
              </w:rPr>
              <w:t>$</w:t>
            </w:r>
          </w:p>
        </w:tc>
        <w:tc>
          <w:tcPr>
            <w:tcW w:w="655" w:type="dxa"/>
            <w:tcBorders/>
            <w:shd w:fill="CCEEFF" w:val="clear"/>
            <w:vAlign w:val="bottom"/>
          </w:tcPr>
          <w:p>
            <w:pPr>
              <w:pStyle w:val="TableContents"/>
              <w:bidi w:val="0"/>
              <w:spacing w:before="0" w:after="283"/>
              <w:jc w:val="right"/>
              <w:rPr/>
            </w:pPr>
            <w:r>
              <w:rPr/>
              <w:t> — 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b/>
              </w:rPr>
            </w:pPr>
            <w:r>
              <w:rPr>
                <w:b/>
              </w:rPr>
              <w:t>5,750,000</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32" w:type="dxa"/>
            <w:tcBorders/>
            <w:shd w:fill="CCEEFF" w:val="clear"/>
            <w:vAlign w:val="bottom"/>
          </w:tcPr>
          <w:p>
            <w:pPr>
              <w:pStyle w:val="TableContents"/>
              <w:bidi w:val="0"/>
              <w:spacing w:before="0" w:after="283"/>
              <w:jc w:val="right"/>
              <w:rPr>
                <w:b/>
              </w:rPr>
            </w:pPr>
            <w:r>
              <w:rPr>
                <w:b/>
              </w:rPr>
              <w:t>575</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68" w:type="dxa"/>
            <w:tcBorders/>
            <w:shd w:fill="CCEEFF" w:val="clear"/>
            <w:vAlign w:val="bottom"/>
          </w:tcPr>
          <w:p>
            <w:pPr>
              <w:pStyle w:val="TableContents"/>
              <w:bidi w:val="0"/>
              <w:spacing w:before="0" w:after="283"/>
              <w:jc w:val="right"/>
              <w:rPr>
                <w:b/>
              </w:rPr>
            </w:pPr>
            <w:r>
              <w:rPr>
                <w:b/>
              </w:rPr>
              <w:t>24,425</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42" w:type="dxa"/>
            <w:tcBorders/>
            <w:shd w:fill="CCEEFF" w:val="clear"/>
            <w:vAlign w:val="bottom"/>
          </w:tcPr>
          <w:p>
            <w:pPr>
              <w:pStyle w:val="TableContents"/>
              <w:bidi w:val="0"/>
              <w:spacing w:before="0" w:after="283"/>
              <w:jc w:val="right"/>
              <w:rPr>
                <w:b/>
              </w:rPr>
            </w:pPr>
            <w:r>
              <w:rPr>
                <w:b/>
              </w:rPr>
              <w:t>(18,571</w:t>
            </w:r>
          </w:p>
        </w:tc>
        <w:tc>
          <w:tcPr>
            <w:tcW w:w="155" w:type="dxa"/>
            <w:tcBorders/>
            <w:shd w:fill="CCEEFF" w:val="clear"/>
            <w:vAlign w:val="bottom"/>
          </w:tcPr>
          <w:p>
            <w:pPr>
              <w:pStyle w:val="TableContents"/>
              <w:bidi w:val="0"/>
              <w:spacing w:before="0" w:after="283"/>
              <w:jc w:val="left"/>
              <w:rPr>
                <w:b/>
              </w:rPr>
            </w:pPr>
            <w:r>
              <w:rPr>
                <w:b/>
              </w:rPr>
              <w:t>) </w:t>
            </w:r>
          </w:p>
        </w:tc>
        <w:tc>
          <w:tcPr>
            <w:tcW w:w="7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1306" w:type="dxa"/>
            <w:tcBorders/>
            <w:shd w:fill="CCEEFF" w:val="clear"/>
            <w:vAlign w:val="bottom"/>
          </w:tcPr>
          <w:p>
            <w:pPr>
              <w:pStyle w:val="TableContents"/>
              <w:bidi w:val="0"/>
              <w:spacing w:before="0" w:after="283"/>
              <w:jc w:val="right"/>
              <w:rPr>
                <w:b/>
              </w:rPr>
            </w:pPr>
            <w:r>
              <w:rPr>
                <w:b/>
              </w:rPr>
              <w:t>6,429</w:t>
            </w:r>
          </w:p>
        </w:tc>
        <w:tc>
          <w:tcPr>
            <w:tcW w:w="167" w:type="dxa"/>
            <w:tcBorders/>
            <w:shd w:fill="CCEEFF" w:val="clear"/>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Accretion for Class A Ordinary Shares to redemption amount</w:t>
            </w:r>
          </w:p>
        </w:tc>
        <w:tc>
          <w:tcPr>
            <w:tcW w:w="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(6,625,161</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(5,066,656</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(11,691,817</w:t>
            </w:r>
          </w:p>
        </w:tc>
        <w:tc>
          <w:tcPr>
            <w:tcW w:w="167" w:type="dxa"/>
            <w:tcBorders/>
            <w:vAlign w:val="bottom"/>
          </w:tcPr>
          <w:p>
            <w:pPr>
              <w:pStyle w:val="TableContents"/>
              <w:bidi w:val="0"/>
              <w:spacing w:before="0" w:after="283"/>
              <w:jc w:val="left"/>
              <w:rPr/>
            </w:pPr>
            <w:r>
              <w:rPr/>
              <w:t>) </w:t>
            </w:r>
          </w:p>
        </w:tc>
      </w:tr>
      <w:tr>
        <w:trPr/>
        <w:tc>
          <w:tcPr>
            <w:tcW w:w="1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 of Private Placement Warrants</w:t>
            </w:r>
          </w:p>
        </w:tc>
        <w:tc>
          <w:tcPr>
            <w:tcW w:w="7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4,500,000</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4,500,000</w:t>
            </w:r>
          </w:p>
        </w:tc>
        <w:tc>
          <w:tcPr>
            <w:tcW w:w="167" w:type="dxa"/>
            <w:tcBorders/>
            <w:shd w:fill="CCEEFF" w:val="clear"/>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Public Warrants at issuance</w:t>
            </w:r>
          </w:p>
        </w:tc>
        <w:tc>
          <w:tcPr>
            <w:tcW w:w="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2,185,000</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2,185,000</w:t>
            </w:r>
          </w:p>
        </w:tc>
        <w:tc>
          <w:tcPr>
            <w:tcW w:w="167" w:type="dxa"/>
            <w:tcBorders/>
            <w:vAlign w:val="bottom"/>
          </w:tcPr>
          <w:p>
            <w:pPr>
              <w:pStyle w:val="TableContents"/>
              <w:bidi w:val="0"/>
              <w:spacing w:before="0" w:after="283"/>
              <w:jc w:val="left"/>
              <w:rPr/>
            </w:pPr>
            <w:r>
              <w:rPr/>
              <w:t> </w:t>
            </w:r>
          </w:p>
        </w:tc>
      </w:tr>
      <w:tr>
        <w:trPr/>
        <w:tc>
          <w:tcPr>
            <w:tcW w:w="1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Allocated value of transaction costs to Class A Ordinary Shares</w:t>
            </w:r>
          </w:p>
        </w:tc>
        <w:tc>
          <w:tcPr>
            <w:tcW w:w="7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(84,264</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(84,264</w:t>
            </w:r>
          </w:p>
        </w:tc>
        <w:tc>
          <w:tcPr>
            <w:tcW w:w="167" w:type="dxa"/>
            <w:tcBorders/>
            <w:shd w:fill="CCEEFF" w:val="clear"/>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(6,303,763</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(6,303,763</w:t>
            </w:r>
          </w:p>
        </w:tc>
        <w:tc>
          <w:tcPr>
            <w:tcW w:w="167" w:type="dxa"/>
            <w:tcBorders/>
            <w:vAlign w:val="bottom"/>
          </w:tcPr>
          <w:p>
            <w:pPr>
              <w:pStyle w:val="TableContents"/>
              <w:bidi w:val="0"/>
              <w:spacing w:before="0" w:after="283"/>
              <w:jc w:val="left"/>
              <w:rPr/>
            </w:pPr>
            <w:r>
              <w:rPr/>
              <w:t>) </w:t>
            </w:r>
          </w:p>
        </w:tc>
      </w:tr>
      <w:tr>
        <w:trPr/>
        <w:tc>
          <w:tcPr>
            <w:tcW w:w="1415"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6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306"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14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 March 31, 2025 (unaudited)</w:t>
            </w:r>
          </w:p>
        </w:tc>
        <w:tc>
          <w:tcPr>
            <w:tcW w:w="7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b/>
              </w:rPr>
            </w:pPr>
            <w:r>
              <w:rPr>
                <w:b/>
              </w:rPr>
              <w:t>$</w:t>
            </w:r>
          </w:p>
        </w:tc>
        <w:tc>
          <w:tcPr>
            <w:tcW w:w="6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b/>
              </w:rPr>
            </w:pPr>
            <w:r>
              <w:rPr>
                <w:b/>
              </w:rPr>
              <w:t>5,750,000</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32" w:type="dxa"/>
            <w:tcBorders/>
            <w:shd w:fill="CCEEFF" w:val="clear"/>
            <w:vAlign w:val="bottom"/>
          </w:tcPr>
          <w:p>
            <w:pPr>
              <w:pStyle w:val="TableContents"/>
              <w:bidi w:val="0"/>
              <w:spacing w:before="0" w:after="283"/>
              <w:jc w:val="right"/>
              <w:rPr>
                <w:b/>
              </w:rPr>
            </w:pPr>
            <w:r>
              <w:rPr>
                <w:b/>
              </w:rPr>
              <w:t>575</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42" w:type="dxa"/>
            <w:tcBorders/>
            <w:shd w:fill="CCEEFF" w:val="clear"/>
            <w:vAlign w:val="bottom"/>
          </w:tcPr>
          <w:p>
            <w:pPr>
              <w:pStyle w:val="TableContents"/>
              <w:bidi w:val="0"/>
              <w:spacing w:before="0" w:after="283"/>
              <w:jc w:val="right"/>
              <w:rPr>
                <w:b/>
              </w:rPr>
            </w:pPr>
            <w:r>
              <w:rPr>
                <w:b/>
              </w:rPr>
              <w:t>(11,388,990</w:t>
            </w:r>
          </w:p>
        </w:tc>
        <w:tc>
          <w:tcPr>
            <w:tcW w:w="155" w:type="dxa"/>
            <w:tcBorders/>
            <w:shd w:fill="CCEEFF" w:val="clear"/>
            <w:vAlign w:val="bottom"/>
          </w:tcPr>
          <w:p>
            <w:pPr>
              <w:pStyle w:val="TableContents"/>
              <w:bidi w:val="0"/>
              <w:spacing w:before="0" w:after="283"/>
              <w:jc w:val="left"/>
              <w:rPr>
                <w:b/>
              </w:rPr>
            </w:pPr>
            <w:r>
              <w:rPr>
                <w:b/>
              </w:rPr>
              <w:t>) </w:t>
            </w:r>
          </w:p>
        </w:tc>
        <w:tc>
          <w:tcPr>
            <w:tcW w:w="7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1306" w:type="dxa"/>
            <w:tcBorders/>
            <w:shd w:fill="CCEEFF" w:val="clear"/>
            <w:vAlign w:val="bottom"/>
          </w:tcPr>
          <w:p>
            <w:pPr>
              <w:pStyle w:val="TableContents"/>
              <w:bidi w:val="0"/>
              <w:spacing w:before="0" w:after="283"/>
              <w:jc w:val="right"/>
              <w:rPr>
                <w:b/>
              </w:rPr>
            </w:pPr>
            <w:r>
              <w:rPr>
                <w:b/>
              </w:rPr>
              <w:t>(11,388,415</w:t>
            </w:r>
          </w:p>
        </w:tc>
        <w:tc>
          <w:tcPr>
            <w:tcW w:w="167" w:type="dxa"/>
            <w:tcBorders/>
            <w:shd w:fill="CCEEFF" w:val="clear"/>
            <w:vAlign w:val="bottom"/>
          </w:tcPr>
          <w:p>
            <w:pPr>
              <w:pStyle w:val="TableContents"/>
              <w:bidi w:val="0"/>
              <w:spacing w:before="0" w:after="283"/>
              <w:jc w:val="left"/>
              <w:rPr>
                <w:b/>
              </w:rPr>
            </w:pPr>
            <w:r>
              <w:rPr>
                <w:b/>
              </w:rPr>
              <w:t>) </w:t>
            </w:r>
          </w:p>
        </w:tc>
      </w:tr>
      <w:tr>
        <w:trPr/>
        <w:tc>
          <w:tcPr>
            <w:tcW w:w="1415"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6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6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306"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bookmarkStart w:id="31" w:name="fintoc58823_23"/>
      <w:bookmarkEnd w:id="31"/>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00"/>
        <w:gridCol w:w="296"/>
        <w:gridCol w:w="140"/>
        <w:gridCol w:w="1071"/>
        <w:gridCol w:w="166"/>
        <w:gridCol w:w="260"/>
        <w:gridCol w:w="140"/>
        <w:gridCol w:w="1363"/>
        <w:gridCol w:w="169"/>
      </w:tblGrid>
      <w:tr>
        <w:trPr/>
        <w:tc>
          <w:tcPr>
            <w:tcW w:w="6600"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60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3140" w:type="dxa"/>
            <w:gridSpan w:val="6"/>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Three Months Ended</w:t>
              <w:br/>
              <w:t>March 31,</w:t>
            </w:r>
          </w:p>
        </w:tc>
        <w:tc>
          <w:tcPr>
            <w:tcW w:w="169" w:type="dxa"/>
            <w:tcBorders/>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9" w:type="dxa"/>
            <w:tcBorders/>
            <w:vAlign w:val="bottom"/>
          </w:tcPr>
          <w:p>
            <w:pPr>
              <w:pStyle w:val="TableContents"/>
              <w:bidi w:val="0"/>
              <w:spacing w:before="0" w:after="283"/>
              <w:jc w:val="left"/>
              <w:rPr/>
            </w:pPr>
            <w:r>
              <w:rPr/>
              <w:t> </w:t>
            </w:r>
          </w:p>
        </w:tc>
      </w:tr>
      <w:tr>
        <w:trPr/>
        <w:tc>
          <w:tcPr>
            <w:tcW w:w="66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660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1" w:type="dxa"/>
            <w:tcBorders/>
            <w:vAlign w:val="bottom"/>
          </w:tcPr>
          <w:p>
            <w:pPr>
              <w:pStyle w:val="TableContents"/>
              <w:bidi w:val="0"/>
              <w:spacing w:before="0" w:after="283"/>
              <w:jc w:val="right"/>
              <w:rPr/>
            </w:pPr>
            <w:r>
              <w:rPr/>
              <w:t>(129,303</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63" w:type="dxa"/>
            <w:tcBorders/>
            <w:vAlign w:val="bottom"/>
          </w:tcPr>
          <w:p>
            <w:pPr>
              <w:pStyle w:val="TableContents"/>
              <w:bidi w:val="0"/>
              <w:spacing w:before="0" w:after="283"/>
              <w:jc w:val="right"/>
              <w:rPr/>
            </w:pPr>
            <w:r>
              <w:rPr/>
              <w:t>(6,303,763</w:t>
            </w:r>
          </w:p>
        </w:tc>
        <w:tc>
          <w:tcPr>
            <w:tcW w:w="169" w:type="dxa"/>
            <w:tcBorders/>
            <w:vAlign w:val="bottom"/>
          </w:tcPr>
          <w:p>
            <w:pPr>
              <w:pStyle w:val="TableContents"/>
              <w:bidi w:val="0"/>
              <w:spacing w:before="0" w:after="283"/>
              <w:jc w:val="left"/>
              <w:rPr/>
            </w:pPr>
            <w:r>
              <w:rPr/>
              <w:t>) </w:t>
            </w:r>
          </w:p>
        </w:tc>
      </w:tr>
      <w:tr>
        <w:trPr/>
        <w:tc>
          <w:tcPr>
            <w:tcW w:w="6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6600" w:type="dxa"/>
            <w:tcBorders/>
          </w:tcPr>
          <w:p>
            <w:pPr>
              <w:pStyle w:val="TableContents"/>
              <w:bidi w:val="0"/>
              <w:spacing w:before="0" w:after="0"/>
              <w:jc w:val="left"/>
              <w:rPr>
                <w:rFonts w:ascii="Times New Roman" w:hAnsi="Times New Roman"/>
                <w:sz w:val="20"/>
              </w:rPr>
            </w:pPr>
            <w:r>
              <w:rPr>
                <w:rFonts w:ascii="Times New Roman" w:hAnsi="Times New Roman"/>
                <w:sz w:val="20"/>
              </w:rPr>
              <w:t>Payment of formation costs included in general and administrative expenses through IPO Promissory Note – related party</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2,251</w:t>
            </w:r>
          </w:p>
        </w:tc>
        <w:tc>
          <w:tcPr>
            <w:tcW w:w="169" w:type="dxa"/>
            <w:tcBorders/>
            <w:vAlign w:val="bottom"/>
          </w:tcPr>
          <w:p>
            <w:pPr>
              <w:pStyle w:val="TableContents"/>
              <w:bidi w:val="0"/>
              <w:spacing w:before="0" w:after="283"/>
              <w:jc w:val="left"/>
              <w:rPr/>
            </w:pPr>
            <w:r>
              <w:rPr/>
              <w:t> </w:t>
            </w:r>
          </w:p>
        </w:tc>
      </w:tr>
      <w:tr>
        <w:trPr/>
        <w:tc>
          <w:tcPr>
            <w:tcW w:w="6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earned on marketable securities held in Trust Account</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(2,101,884</w:t>
            </w:r>
          </w:p>
        </w:tc>
        <w:tc>
          <w:tcPr>
            <w:tcW w:w="16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(717,933</w:t>
            </w:r>
          </w:p>
        </w:tc>
        <w:tc>
          <w:tcPr>
            <w:tcW w:w="169" w:type="dxa"/>
            <w:tcBorders/>
            <w:shd w:fill="CCEEFF" w:val="clear"/>
            <w:vAlign w:val="bottom"/>
          </w:tcPr>
          <w:p>
            <w:pPr>
              <w:pStyle w:val="TableContents"/>
              <w:bidi w:val="0"/>
              <w:spacing w:before="0" w:after="283"/>
              <w:jc w:val="left"/>
              <w:rPr/>
            </w:pPr>
            <w:r>
              <w:rPr/>
              <w:t>) </w:t>
            </w:r>
          </w:p>
        </w:tc>
      </w:tr>
      <w:tr>
        <w:trPr/>
        <w:tc>
          <w:tcPr>
            <w:tcW w:w="660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PIPE Subscription Agreements liability</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1,264,969</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r>
      <w:tr>
        <w:trPr/>
        <w:tc>
          <w:tcPr>
            <w:tcW w:w="6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6600"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6,250</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(179,770</w:t>
            </w:r>
          </w:p>
        </w:tc>
        <w:tc>
          <w:tcPr>
            <w:tcW w:w="169" w:type="dxa"/>
            <w:tcBorders/>
            <w:vAlign w:val="bottom"/>
          </w:tcPr>
          <w:p>
            <w:pPr>
              <w:pStyle w:val="TableContents"/>
              <w:bidi w:val="0"/>
              <w:spacing w:before="0" w:after="283"/>
              <w:jc w:val="left"/>
              <w:rPr/>
            </w:pPr>
            <w:r>
              <w:rPr/>
              <w:t>) </w:t>
            </w:r>
          </w:p>
        </w:tc>
      </w:tr>
      <w:tr>
        <w:trPr/>
        <w:tc>
          <w:tcPr>
            <w:tcW w:w="6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prepaid insurance</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14,167</w:t>
            </w:r>
          </w:p>
        </w:tc>
        <w:tc>
          <w:tcPr>
            <w:tcW w:w="16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(77,917</w:t>
            </w:r>
          </w:p>
        </w:tc>
        <w:tc>
          <w:tcPr>
            <w:tcW w:w="169" w:type="dxa"/>
            <w:tcBorders/>
            <w:shd w:fill="CCEEFF" w:val="clear"/>
            <w:vAlign w:val="bottom"/>
          </w:tcPr>
          <w:p>
            <w:pPr>
              <w:pStyle w:val="TableContents"/>
              <w:bidi w:val="0"/>
              <w:spacing w:before="0" w:after="283"/>
              <w:jc w:val="left"/>
              <w:rPr/>
            </w:pPr>
            <w:r>
              <w:rPr/>
              <w:t>) </w:t>
            </w:r>
          </w:p>
        </w:tc>
      </w:tr>
      <w:tr>
        <w:trPr/>
        <w:tc>
          <w:tcPr>
            <w:tcW w:w="660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740,859</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13,253</w:t>
            </w:r>
          </w:p>
        </w:tc>
        <w:tc>
          <w:tcPr>
            <w:tcW w:w="169" w:type="dxa"/>
            <w:tcBorders/>
            <w:vAlign w:val="bottom"/>
          </w:tcPr>
          <w:p>
            <w:pPr>
              <w:pStyle w:val="TableContents"/>
              <w:bidi w:val="0"/>
              <w:spacing w:before="0" w:after="283"/>
              <w:jc w:val="left"/>
              <w:rPr/>
            </w:pPr>
            <w:r>
              <w:rPr/>
              <w:t> </w:t>
            </w:r>
          </w:p>
        </w:tc>
      </w:tr>
      <w:tr>
        <w:trPr/>
        <w:tc>
          <w:tcPr>
            <w:tcW w:w="6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Advisory Fee payable</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6,900,000</w:t>
            </w:r>
          </w:p>
        </w:tc>
        <w:tc>
          <w:tcPr>
            <w:tcW w:w="169" w:type="dxa"/>
            <w:tcBorders/>
            <w:shd w:fill="CCEEFF" w:val="clear"/>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b/>
              </w:rPr>
            </w:pPr>
            <w:r>
              <w:rPr>
                <w:b/>
              </w:rPr>
              <w:t>(204,942</w:t>
            </w:r>
          </w:p>
        </w:tc>
        <w:tc>
          <w:tcPr>
            <w:tcW w:w="166" w:type="dxa"/>
            <w:tcBorders/>
            <w:vAlign w:val="bottom"/>
          </w:tcPr>
          <w:p>
            <w:pPr>
              <w:pStyle w:val="TableContents"/>
              <w:bidi w:val="0"/>
              <w:spacing w:before="0" w:after="283"/>
              <w:jc w:val="left"/>
              <w:rPr>
                <w:b/>
              </w:rPr>
            </w:pPr>
            <w:r>
              <w:rPr>
                <w:b/>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b/>
              </w:rPr>
            </w:pPr>
            <w:r>
              <w:rPr>
                <w:b/>
              </w:rPr>
              <w:t>(363,879</w:t>
            </w:r>
          </w:p>
        </w:tc>
        <w:tc>
          <w:tcPr>
            <w:tcW w:w="169" w:type="dxa"/>
            <w:tcBorders/>
            <w:vAlign w:val="bottom"/>
          </w:tcPr>
          <w:p>
            <w:pPr>
              <w:pStyle w:val="TableContents"/>
              <w:bidi w:val="0"/>
              <w:spacing w:before="0" w:after="283"/>
              <w:jc w:val="left"/>
              <w:rPr>
                <w:b/>
              </w:rPr>
            </w:pPr>
            <w:r>
              <w:rPr>
                <w:b/>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66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Investment of cash into Trust Account</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b/>
              </w:rPr>
            </w:pPr>
            <w:r>
              <w:rPr>
                <w:b/>
              </w:rPr>
              <w:t>(231,150,000</w:t>
            </w:r>
          </w:p>
        </w:tc>
        <w:tc>
          <w:tcPr>
            <w:tcW w:w="169" w:type="dxa"/>
            <w:tcBorders/>
            <w:vAlign w:val="bottom"/>
          </w:tcPr>
          <w:p>
            <w:pPr>
              <w:pStyle w:val="TableContents"/>
              <w:bidi w:val="0"/>
              <w:spacing w:before="0" w:after="283"/>
              <w:jc w:val="left"/>
              <w:rPr>
                <w:b/>
              </w:rPr>
            </w:pPr>
            <w:r>
              <w:rPr>
                <w:b/>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b/>
              </w:rPr>
            </w:pPr>
            <w:r>
              <w:rPr>
                <w:b/>
              </w:rPr>
              <w:t>(231,150,000</w:t>
            </w:r>
          </w:p>
        </w:tc>
        <w:tc>
          <w:tcPr>
            <w:tcW w:w="169" w:type="dxa"/>
            <w:tcBorders/>
            <w:shd w:fill="CCEEFF" w:val="clear"/>
            <w:vAlign w:val="bottom"/>
          </w:tcPr>
          <w:p>
            <w:pPr>
              <w:pStyle w:val="TableContents"/>
              <w:bidi w:val="0"/>
              <w:spacing w:before="0" w:after="283"/>
              <w:jc w:val="left"/>
              <w:rPr>
                <w:b/>
              </w:rPr>
            </w:pPr>
            <w:r>
              <w:rPr>
                <w:b/>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71"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63"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66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Proceeds from sale of Units, net of underwriting discounts paid</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b/>
              </w:rPr>
            </w:pPr>
            <w:r>
              <w:rPr>
                <w:b/>
              </w:rPr>
              <w:t>229,750,000</w:t>
            </w:r>
          </w:p>
        </w:tc>
        <w:tc>
          <w:tcPr>
            <w:tcW w:w="169" w:type="dxa"/>
            <w:tcBorders/>
            <w:shd w:fill="CCEEFF" w:val="clear"/>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Proceeds from sale of Private Placements Warrants</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b/>
              </w:rPr>
            </w:pPr>
            <w:r>
              <w:rPr>
                <w:b/>
              </w:rPr>
              <w:t>4,500,000</w:t>
            </w:r>
          </w:p>
        </w:tc>
        <w:tc>
          <w:tcPr>
            <w:tcW w:w="169" w:type="dxa"/>
            <w:tcBorders/>
            <w:vAlign w:val="bottom"/>
          </w:tcPr>
          <w:p>
            <w:pPr>
              <w:pStyle w:val="TableContents"/>
              <w:bidi w:val="0"/>
              <w:spacing w:before="0" w:after="283"/>
              <w:jc w:val="left"/>
              <w:rPr/>
            </w:pPr>
            <w:r>
              <w:rPr/>
              <w:t> </w:t>
            </w:r>
          </w:p>
        </w:tc>
      </w:tr>
      <w:tr>
        <w:trPr/>
        <w:tc>
          <w:tcPr>
            <w:tcW w:w="66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Repayment of IPO Promissory Note – related party</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b/>
              </w:rPr>
            </w:pPr>
            <w:r>
              <w:rPr>
                <w:b/>
              </w:rPr>
              <w:t>(176,573</w:t>
            </w:r>
          </w:p>
        </w:tc>
        <w:tc>
          <w:tcPr>
            <w:tcW w:w="169" w:type="dxa"/>
            <w:tcBorders/>
            <w:shd w:fill="CCEEFF" w:val="clear"/>
            <w:vAlign w:val="bottom"/>
          </w:tcPr>
          <w:p>
            <w:pPr>
              <w:pStyle w:val="TableContents"/>
              <w:bidi w:val="0"/>
              <w:spacing w:before="0" w:after="283"/>
              <w:jc w:val="left"/>
              <w:rPr>
                <w:b/>
              </w:rPr>
            </w:pPr>
            <w:r>
              <w:rPr>
                <w:b/>
              </w:rPr>
              <w:t>) </w:t>
            </w:r>
          </w:p>
        </w:tc>
      </w:tr>
      <w:tr>
        <w:trPr/>
        <w:tc>
          <w:tcPr>
            <w:tcW w:w="66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Payment of offering costs</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b/>
              </w:rPr>
            </w:pPr>
            <w:r>
              <w:rPr>
                <w:b/>
              </w:rPr>
              <w:t>(310,836</w:t>
            </w:r>
          </w:p>
        </w:tc>
        <w:tc>
          <w:tcPr>
            <w:tcW w:w="169" w:type="dxa"/>
            <w:tcBorders/>
            <w:vAlign w:val="bottom"/>
          </w:tcPr>
          <w:p>
            <w:pPr>
              <w:pStyle w:val="TableContents"/>
              <w:bidi w:val="0"/>
              <w:spacing w:before="0" w:after="283"/>
              <w:jc w:val="left"/>
              <w:rPr>
                <w:b/>
              </w:rPr>
            </w:pPr>
            <w:r>
              <w:rPr>
                <w:b/>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b/>
              </w:rPr>
            </w:pPr>
            <w:r>
              <w:rPr>
                <w:b/>
              </w:rPr>
              <w:t>233,762,591</w:t>
            </w:r>
          </w:p>
        </w:tc>
        <w:tc>
          <w:tcPr>
            <w:tcW w:w="169" w:type="dxa"/>
            <w:tcBorders/>
            <w:shd w:fill="CCEEFF" w:val="clear"/>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change in cash and cash equivalents</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b/>
              </w:rPr>
            </w:pPr>
            <w:r>
              <w:rPr>
                <w:b/>
              </w:rPr>
              <w:t>(204,942</w:t>
            </w:r>
          </w:p>
        </w:tc>
        <w:tc>
          <w:tcPr>
            <w:tcW w:w="166" w:type="dxa"/>
            <w:tcBorders/>
            <w:vAlign w:val="bottom"/>
          </w:tcPr>
          <w:p>
            <w:pPr>
              <w:pStyle w:val="TableContents"/>
              <w:bidi w:val="0"/>
              <w:spacing w:before="0" w:after="283"/>
              <w:jc w:val="left"/>
              <w:rPr>
                <w:b/>
              </w:rPr>
            </w:pPr>
            <w:r>
              <w:rPr>
                <w:b/>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b/>
              </w:rPr>
            </w:pPr>
            <w:r>
              <w:rPr>
                <w:b/>
              </w:rPr>
              <w:t>2,248,712</w:t>
            </w:r>
          </w:p>
        </w:tc>
        <w:tc>
          <w:tcPr>
            <w:tcW w:w="169" w:type="dxa"/>
            <w:tcBorders/>
            <w:vAlign w:val="bottom"/>
          </w:tcPr>
          <w:p>
            <w:pPr>
              <w:pStyle w:val="TableContents"/>
              <w:bidi w:val="0"/>
              <w:spacing w:before="0" w:after="283"/>
              <w:jc w:val="left"/>
              <w:rPr/>
            </w:pPr>
            <w:r>
              <w:rPr/>
              <w:t> </w:t>
            </w:r>
          </w:p>
        </w:tc>
      </w:tr>
      <w:tr>
        <w:trPr/>
        <w:tc>
          <w:tcPr>
            <w:tcW w:w="66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the period</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1,329,433</w:t>
            </w:r>
          </w:p>
        </w:tc>
        <w:tc>
          <w:tcPr>
            <w:tcW w:w="16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end of the period</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71" w:type="dxa"/>
            <w:tcBorders/>
            <w:vAlign w:val="bottom"/>
          </w:tcPr>
          <w:p>
            <w:pPr>
              <w:pStyle w:val="TableContents"/>
              <w:bidi w:val="0"/>
              <w:spacing w:before="0" w:after="283"/>
              <w:jc w:val="right"/>
              <w:rPr>
                <w:b/>
              </w:rPr>
            </w:pPr>
            <w:r>
              <w:rPr>
                <w:b/>
              </w:rPr>
              <w:t>1,124,492</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363" w:type="dxa"/>
            <w:tcBorders/>
            <w:vAlign w:val="bottom"/>
          </w:tcPr>
          <w:p>
            <w:pPr>
              <w:pStyle w:val="TableContents"/>
              <w:bidi w:val="0"/>
              <w:spacing w:before="0" w:after="283"/>
              <w:jc w:val="right"/>
              <w:rPr>
                <w:b/>
              </w:rPr>
            </w:pPr>
            <w:r>
              <w:rPr>
                <w:b/>
              </w:rPr>
              <w:t>2,248,712</w:t>
            </w:r>
          </w:p>
        </w:tc>
        <w:tc>
          <w:tcPr>
            <w:tcW w:w="169" w:type="dxa"/>
            <w:tcBorders/>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1"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Non-cash investing and financing activities: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6600" w:type="dxa"/>
            <w:tcBorders/>
          </w:tcPr>
          <w:p>
            <w:pPr>
              <w:pStyle w:val="TableContents"/>
              <w:bidi w:val="0"/>
              <w:spacing w:before="0" w:after="0"/>
              <w:jc w:val="left"/>
              <w:rPr>
                <w:rFonts w:ascii="Times New Roman" w:hAnsi="Times New Roman"/>
                <w:sz w:val="20"/>
              </w:rPr>
            </w:pPr>
            <w:r>
              <w:rPr>
                <w:rFonts w:ascii="Times New Roman" w:hAnsi="Times New Roman"/>
                <w:sz w:val="20"/>
              </w:rPr>
              <w:t>Deferred offering costs paid through IPO Promissory Note – related party</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1"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63" w:type="dxa"/>
            <w:tcBorders/>
            <w:vAlign w:val="bottom"/>
          </w:tcPr>
          <w:p>
            <w:pPr>
              <w:pStyle w:val="TableContents"/>
              <w:bidi w:val="0"/>
              <w:spacing w:before="0" w:after="283"/>
              <w:jc w:val="right"/>
              <w:rPr/>
            </w:pPr>
            <w:r>
              <w:rPr/>
              <w:t>115,955</w:t>
            </w:r>
          </w:p>
        </w:tc>
        <w:tc>
          <w:tcPr>
            <w:tcW w:w="169" w:type="dxa"/>
            <w:tcBorders/>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1"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costs included in accrued offering costs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1"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82,107</w:t>
            </w:r>
          </w:p>
        </w:tc>
        <w:tc>
          <w:tcPr>
            <w:tcW w:w="169" w:type="dxa"/>
            <w:tcBorders/>
            <w:shd w:fill="CCEEFF" w:val="clear"/>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1"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1"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63" w:type="dxa"/>
            <w:tcBorders/>
            <w:vAlign w:val="bottom"/>
          </w:tcPr>
          <w:p>
            <w:pPr>
              <w:pStyle w:val="TableContents"/>
              <w:bidi w:val="0"/>
              <w:spacing w:before="0" w:after="283"/>
              <w:jc w:val="right"/>
              <w:rPr/>
            </w:pPr>
            <w:r>
              <w:rPr/>
              <w:t>6,900,000</w:t>
            </w:r>
          </w:p>
        </w:tc>
        <w:tc>
          <w:tcPr>
            <w:tcW w:w="169" w:type="dxa"/>
            <w:tcBorders/>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1"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costs applied to prepaid expense</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1"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5,206</w:t>
            </w:r>
          </w:p>
        </w:tc>
        <w:tc>
          <w:tcPr>
            <w:tcW w:w="169" w:type="dxa"/>
            <w:tcBorders/>
            <w:shd w:fill="CCEEFF" w:val="clear"/>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1"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bookmarkStart w:id="32" w:name="fintoc58823_24"/>
      <w:bookmarkEnd w:id="32"/>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NOTE 1. DESCRIPTION OF ORGANIZATION AND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Live Oak Acquisition Corp. V (the “Company”) is a blank check company incorporated as a Cayman Islands exempted corporation on November 27, 2024. The Company was incorporated for the purpose of effecting a merger, amalgamation, share exchange, asset acquisition, share purchase, reorganization or similar business combination with one or more businesses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the Company had two wholly owned subsidiaries, Catalyst Sub Inc., a Delaware corporation, incorporated on November 6, 2025 (“Merger Sub”), and Catalyst Sub 2 LLC, a Delaware limited liability company, incorporated on November 6, 2025 (“Merger Sub II,” and together with Merger Sub, the “Merger Subs”), which were formed solely in contemplation of the proposed Teamshares Business Combination (as defined and described below). The Merger Subs have not commenced any operations and have only nominal assets and no liabilities or contingent liabilities, nor any outstanding commitments other than in connection with the Teamshares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the Company had not commenced any operations. All activity for the period from November 27, 2024 (inception) through March 31, 2026 relates to the Company’s formation, the Initial Public Offering (as defined below), and subsequent to the Initial Public Offering, identifying a target company for and consummating a Business Combination, including the Teamshares Business Combination. The Company will not generate any operating revenues until after the completion of its initial Business Combination, at the earliest. The Company generates non-operating income in the form of interest income on the proceeds derived from the Initial Public Offering. The Company has selected December 31 as its fiscal year end. </w:t>
      </w:r>
    </w:p>
    <w:p>
      <w:pPr>
        <w:pStyle w:val="TextBody"/>
        <w:bidi w:val="0"/>
        <w:spacing w:before="240" w:after="0"/>
        <w:jc w:val="left"/>
        <w:rPr>
          <w:rFonts w:ascii="Times New Roman" w:hAnsi="Times New Roman"/>
          <w:sz w:val="20"/>
        </w:rPr>
      </w:pPr>
      <w:r>
        <w:rPr>
          <w:rFonts w:ascii="Times New Roman" w:hAnsi="Times New Roman"/>
          <w:sz w:val="20"/>
        </w:rPr>
        <w:t xml:space="preserve">The Company’s Sponsor is Live Oak Sponsor V LLC, a Delaware limited liability company (the “Sponsor”). The Registration Statement on Form S-1 for the Initial Public Offering, initially filed with the U.S. Securities and Exchange Commission (the “SEC”) on January 10, 2025, as amended (File No. 333-284207), was declared effective on February 27, 2025 (the “IPO Registration Statement”). On March 3, 2025, the Company consummated the initial public offering of 23,000,000 units of the Company at $10.00 per unit (the “Units”), which included the full exercise by the several underwriters of the Initial Public Offering (the “Underwriters”) of their over-allotment option (the “Over-Allotment Option”) in the amount of 3,000,000 Units (the “Option Units”), at $10.00 per Option Unit, generating gross proceeds of $230,000,000 (the “Initial Public Offering”). Each Unit consists of one Class A ordinary share, par value $0.0001 per share, of the Company (the “Class A Ordinary Shares” and with respect to the Class A Ordinary Shares included in the Units, the “Public Shares”) and one-half of one redeemable warrant of the Company (the “Public Warrants”).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an aggregate of 4,500,000 warrants (the “Private Placement Warrants,” and together with the Public Warrants, the “Warrants”) at a price of $1.00 per Private Placement Warrant, in a private placement to the Sponsor, generating gross proceeds of $4,500,000 (the “Private Placement”). Each whole Warrant entitles the holder to purchase one Class A Ordinary Share at a price of $11.50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(“Management”) has broad discretion with respect to the specific application of the net proceeds of the Initial Public Offering and the Private Placement, although substantially all of the net proceeds are intended to be generally applied toward consummating a Business Combination (less the Deferred Fee (as defined in Note 6) and taxes payable, if any).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amounted to $7,723,148, consisting of $250,000 of cash underwriting fee, the Deferred Fee of $6,900,000 and $573,148 of other offering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Business Combination must be with one or more target businesses that together have a fair market value equal to at least 80% of the net balance in the Trust Account (as defined below) (excluding the amount of Deferred Fee held and taxes payable on the income earned on the Trust Account, if any) at the time of the signing an agreement to enter into a Business Combination. However,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of the Initial Public Offering, on March 3, 2025, an amount of $231,150,000 ($10.05 per Unit) from the net proceeds of Initial Public Offering and the Private Placement was held in a trust account (the “Trust Account”) located in the United States, with Continental Stock Transfer &amp; Trust Company (“Continental”) acting as trustee and are initially held in cash, including in demand deposit accounts at a bank, or invested in U.S. Department of the Treasury (“Treasury”) obligations with a maturity of 185 days or less or in money market funds meeting certain conditions under Rule 2a-7 under the Investment Company Act, that invest only in direct Treasury obligations; the holding of these assets in this form is intended to be temporary and for the sole purpose of facilitating the intended Business Combination. To mitigate the risk that the Company might be deemed to be an investment company for purposes of the Investment Company Act, which risk increases the longer that the Company holds investments in the Trust Account, the Company may, at any time (based on Management’s ongoing assessment of all factors related to the potential status of the Company under the Investment Company Act), instruct Continental to liquidate the investments held in the Trust Account and instead to hold the funds in the Trust Account in cash or in an interest-bearing demand deposit account at a bank. Interest earned on the funds held in the Trust Account may only be released to the Company to pay its taxes, if any, and any such withdrawals can only be made from interest and not from the principal held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The proceeds from the Initial Public Offering and the Private Placement will not be released from the Trust Account until the earliest of (i) the completion of the initial Business Combination, (ii) the redemption of the Public Shares if the Company is unable to complete the initial Business Combination by March 3, 2027 (since the Company has executed a definitive agreement for an initial Business Combination by December 3, 2026), as may be extended by shareholder approval to amend the Company’s amended and restated memorandum and articles of association (the “Amended and Restated Articles”) to extend the date by which the Company must consummate an initial Business Combination) or by such earlier liquidation date as the Company’s board of directors (the “Board”) may approve (the “Combination Period”)), subject to applicable law, or (iii) the redemption of the Public Shares properly submitted in connection with a shareholder vote to amend the Amended and Restated Articles to modify (x) the substance or timing of the Company’s obligation to allow redemption in connection with the initial Business Combination or to redeem 100% of the Public Shares if the Company has not consummated an initial Business Combination within the Combination Period or (y) any other material provisions relating to shareholders’ rights or pre-initial Business Combination activity. The proceeds deposited in the Trust Account could become subject to the claims of the Company’s creditors, if any, which could have priority over the claims of the holders of the Public Shares (the “Public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the Public Shareholders with the opportunity to redeem all or a portion of their Public Shares upon the completion of the initial Business Combination either (i) in connection with a general meeting called to approve the initial Business Combination or (ii) without a shareholder vote by means of a tender offer. The decision as to whether the Company will seek shareholder approval of a proposed initial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Combination or conduct a tender offer will be made by the Company, solely in its discretion. The Public Shareholders will be entitled to redeem their Public Shares at a per-share price, payable in cash, equal to the aggregate amount then on deposit in the Trust Account calculated as of two business days prior to the consummation of the initial Business Combination, including interest earned on the funds held in the Trust Account (less taxes payable, if any), divided by the number of then outstanding Public Shares, subject to the limitations of applicable law and the Amended and Restated Articles. As of March 31, 2026, the amount of the Trust Account was $10.39 per Public Share. </w:t>
      </w:r>
    </w:p>
    <w:p>
      <w:pPr>
        <w:pStyle w:val="TextBody"/>
        <w:bidi w:val="0"/>
        <w:spacing w:before="240" w:after="0"/>
        <w:jc w:val="left"/>
        <w:rPr>
          <w:rFonts w:ascii="Times New Roman" w:hAnsi="Times New Roman"/>
          <w:sz w:val="20"/>
        </w:rPr>
      </w:pPr>
      <w:r>
        <w:rPr>
          <w:rFonts w:ascii="Times New Roman" w:hAnsi="Times New Roman"/>
          <w:sz w:val="20"/>
        </w:rPr>
        <w:t xml:space="preserve">The Ordinary Shares (as defined in Note 5) subject to redemption were recorded at a redemption value and classified as temporary equity at the completion of the Initial Public Offering, in accordance with Financial Accounting Standards Board (“FASB”) Accounting Standards Codification (“ASC”) Topic 480, “Distinguishing Liabilities from Equity.”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only the duration of the Combination Period to complete the initial Business Combination. If the Company is unable to complete its initial Business Combination within the Combination Period, the Company will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if any, and up to $100,000 of interest to pay dissolution expenses), divided by the number of then outstanding Public Shares, which redemption will constitute full and complete payment for the Public Shares and completely extinguish Public Shareholders’ rights as shareholders (including the right to receive further liquidation or other distributions, if any), subject to the Company’s obligations under Cayman Islands law to provide for claims of creditors and subject to the other requirements of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Sponsor and the Company’s officers and directors have entered into a letter agreement with the Company, dated February 27, 2025 (the “Letter Agreement”), pursuant to which they have agreed to (i) waive their redemption rights with respect to their Founder Shares (as defined in Note 5) and Public Shares in connection with (x) the completion of the initial Business Combination or an earlier redemption in connection with the commencement of the procedures to consummate the initial Business Combination if the Company determines it is desirable to facilitate the completion of the initial Business Combination and (y) a shareholder vote to approve an amendment to the Amended and Restated Articles to modify (1) the substance or timing of the Company’s obligation to allow redemption in connection with the initial Business Combination or to redeem 100% of the Public Shares if the Company has not consummated an initial Business Combination within the Combination Period or (2) any other material provisions relating to shareholders’ rights or pre-initial Business Combination; (ii) waive their redemption rights with respect to their Founder Shares and Public Shares in connection with a shareholder vote to approve an amendment to the Amended and Restated Articles; (iii) waive their rights to liquidating distributions from the Trust Account with respect to their Founder Shares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Combination Period and to liquidating distributions from assets outside the Trust Account; and (iv) vote any Founder Shares held by them and any Public Shares purchased during or after the Initial Public Offering (including in open market and privately negotiated transactions) in favor of the initial Business Combination (except that any Public Shares such parties may purchase in compliance with the requirements of Rule 14e-5 under the Securities Exchange Act of 1934, as amended (the “Exchange Act”), would not be voted in favor of approving the Business Combination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Sponsor has agreed that it will be liable to the Company if and to the extent any claims by a third party (other than the Company’s independent public accountants) for services rendered or products sold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Company, or a prospective target business with which the Company has entered into a written letter of intent, confidentiality or other similar agreement or Business Combination agreement, reduce the amount of funds in the Trust Account to below the lesser of (i) $10.05 per Public Share and (ii) the actual amount per Public Share held in the Trust Account as of the date of the liquidation of the Trust Account, if less than $10.05 per Public Share due to reductions in the value of the Trust Account assets, less income taxes payable, provided that such liability will not apply to any claims by a third party (other than the Company’s independent public accountants) or prospective target business who executed a waiver of any and all rights to the monies held in the Trust Account (whether or not such waiver is enforceable) nor will it apply to any claims under the Company’s indemnity of the Underwriters against certain liabilities, including liabilities under the Securities Act of 1933, as amended (the “Securities Act”). However, the Company has not asked the Sponsor to reserve for such indemnification obligations, nor has the Company independently verified whether the Sponsor has sufficient funds to satisfy its indemnity obligations, and the Company believes that the Sponsor’s only assets are securities of the Company. Therefore, there can be no assurance that the Sponsor will be able to satisfy those obligations. </w:t>
      </w:r>
    </w:p>
    <w:p>
      <w:pPr>
        <w:pStyle w:val="TextBody"/>
        <w:bidi w:val="0"/>
        <w:spacing w:before="240" w:after="0"/>
        <w:jc w:val="left"/>
        <w:rPr>
          <w:rFonts w:ascii="Times New Roman" w:hAnsi="Times New Roman"/>
          <w:sz w:val="20"/>
        </w:rPr>
      </w:pPr>
      <w:r>
        <w:rPr>
          <w:rFonts w:ascii="Times New Roman" w:hAnsi="Times New Roman"/>
          <w:sz w:val="20"/>
        </w:rPr>
        <w:t xml:space="preserve">On February 25, 2026, the Board appointed Somsak Chivavibul as a Class I director of the Board, effective immediately. The Board determined that Mr. Chivavibul qualifies as an independent director and appointed him to serve as a member of the Audit Committee and the chair of the Compensation Committee of the Board. In connection with the appointment, the Company entered into a joinder to the Letter Agreement with Mr. Chivavibul, as well as an indemnification agreement, which are substantially similar to those entered into by the Company’s current officers and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Teamshares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November 14, 2025, the Company entered into an Agreement and Plan of Merger, as amended on each of April 1, 2026 and May 13, 2026, and as it may be further amended or supplemented from time to time (the “Teamshares Merger Agreement”), with (i) the Merger Subs, (iii) Teamshares Inc., a Delaware corporation (“Teamshares”), (iv) the Sponsor, from and after the closing (the “Closing”) of the transactions contemplated by the Teamshares Merger Agreement (collectively, the “Teamshares Business Combination”), solely in its capacity as representative for the Company’s shareholders (other than the Teamshares security holders and their respective successors and assigns) for the limited purposes set forth in the Teamshares Merger Agreement and (v) Brian Gaebe, in the capacity as the representative from and after the Closing of the Earnout Participants (as defined in the Teamshares Merger Agreement) and their respective successors and assignees in accordance with the terms and conditions of the Merger Agreement. Teamshares is a tech-enabled acquiror of high-quality businesses, intending to be a permanent home for businesses. Part holding company, part financial technology, Teamshares programmatically acquires companies with $0.5 to $5 million of earnings before interest, taxes, depreciation, and amortization from retiring owners, integrates them with the Teamshares platform, and helps employees earn company stock. Founded in 2019, Teamshares operates subsidiaries with consolidated revenue of over $400 million across over 40 industries and 30 states.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Teamshares Merger Agreement, subject to the terms and conditions set forth therein, (i) prior to the Closing, the Company will de-register from the Register of Companies in the Cayman Islands and transfer by way of continuation out of the Cayman Islands and into the State of Delaware so as to become a Delaware corporation (the “Domestication”), (ii) following the Domestication, at the Closing, Merger Sub will merge with and into Teamshares (the “First Merger”) with Teamshares surviving such merger as a wholly owned subsidiary of the Company (the “Surviving Corporation”) and (iii) immediately following the First Merger and as part of the same overall transaction as the First Merger, the Surviving Corporation will merge with and into Merger Sub II (the “Second Merger” and together with the First Merger, the “Mergers”), and as a result of which (a) all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issued and outstanding capital stock of Teamshares as of immediately prior to the First Merger shall no longer be outstanding and shall automatically be cancelled and shall cease to exist, in exchange for the right of each Teamshares stockholder to receive its pro rata share of the Stockholder Merger Consideration (as defined below) (after giving effect to certain elections by certain Teamshares preferred holders and, thereafter, giving effect to the conversion of all remaining shares of Teamshares preferred stock into shares of Teamshares common stock in accordance with the terms of the Teamshares Merger Agreement or otherwise treating shares of Teamshares preferred stock on an as converted to Teamshares common stock basis), and each Earnout Participant to receive their Earnout Shares (as defined in the Teamshares Merger Agreement) and (b) the in-the-money Teamshares options shall be assumed (with equitable adjustments to the number and exercise price of such Teamshares options) and replaced with options exercisable into shares of the combined company’s common stock (the “Assumed Options”), all upon the terms and subject to the conditions set forth in the Teamshares Merger Agreement and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Teamshares Merger Agreement provides that the total consideration received from the Company at the Closing by the Teamshares security holders that have completed required transmittal documents and holders of vested options to purchase shares of Teamshares common stock that are “in-the-money” as of immediately prior to the effective time of the First Merger will be a number of newly-issued shares of the combined company’s common stock, par value $0.0001 per share (the “Combined Company Common Stock”), and options to purchase shares of the Combined Company Common Stock, with an aggregate value equal to the sum of (i) Five Hundred and Twenty-Five Million Dollars ($525,000,000) plus (ii) the Interim Period Financing (as defined in the Teamshares Merger Agreement) amount, if any, that has converted into Teamshares common stock (the “Merger Consideration”), with each share of the Company’s common stock valued at $10.00 (with the total portion of the Merger Consideration amount payable to all Teamshares stockholders in accordance with the Teamshares Merger Agreement, the “Stockholder Merger Consideration”). All Teamshares warrants, convertible debt, underwater options and other convertible securities outstanding and not exercised or converted prior to the Closing will be terminated as of the Closing. The Teamshares Merger Agreement also provides that the Teamshares stockholders and certain qualifying holders of Assumed Options (collectively referred to as Earnout Participants), may be entitled to receive additional shares of Combined Company Common Stock upon the future occurrence, if any, of certain events within the period ending on the five-year anniversary of the Closing, subject to satisfaction of certain additional conditions, as further described in the Teamshares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Capital Resources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the Company had cash and cash equivalents of $1,124,492. The Company uses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 including the Teamshares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order to finance transaction costs in connection with a Business Combination, the Sponsor or an affiliate of the Sponsor or certain of the Company’s officers and directors may, but are not obligated to, loan the Company funds as may be required (the “Working Capital Loans”).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Up to $1,500,000 of such Working Capital Loans may be convertible into warrants of the post-Business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entity at a price of $1.00 per warrant at the option of the lender. The warrants would be identical to the Private Placement Warrants. As of March 31, 2026 and December 31, 2025, no such Working Capital Loans were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need to raise additional capital through loans or additional investments from the Sponsor or its officers, directors or their affiliates, However,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Company’s assessment of going concern, the Company has until March 3, 2027 (since the Company has executed a definitive agreement for an initial Business Combination by December 3, 2026) to consummate a Business Combination. It is uncertain whether the Company will be able to consummate a Business Combination by this time. If a Business Combination is not consummated by this date, there will be a mandatory liquidation and subsequent dissolution of the Company. Management has determined that the liquidity condition and mandatory liquidation should a Business Combination not occur, and potential subsequent dissolution raises substantial doubt about the Company’s ability to continue as a going concern. Management intends to consummate a Business Combination prior to March 3, 2027 (since the Company has executed a definitive agreement for an initial Business Combination by December 3, 2026). No adjustments have been made to the carrying amounts of assets or liabilities should the Company be required to liquidate after the end of the Combination Period. </w:t>
      </w:r>
    </w:p>
    <w:p>
      <w:pPr>
        <w:pStyle w:val="TextBody"/>
        <w:bidi w:val="0"/>
        <w:spacing w:before="360" w:after="0"/>
        <w:jc w:val="left"/>
        <w:rPr>
          <w:rFonts w:ascii="Times New Roman" w:hAnsi="Times New Roman"/>
          <w:b/>
          <w:sz w:val="20"/>
        </w:rPr>
      </w:pPr>
      <w:r>
        <w:rPr>
          <w:rFonts w:ascii="Times New Roman" w:hAnsi="Times New Roman"/>
          <w:b/>
          <w:sz w:val="20"/>
        </w:rPr>
        <w:t xml:space="preserve">NOTE 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unaudited condensed consolidated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unaudited condensed consolidated financial statements should be read in conjunction with the Company’s Annual Report on Form 10-K for the year ended December 31, 2025, as filed with the SEC on March 30, 2026. The interim results for the three months ended March 31, 2026 are not necessarily indicative of the results to be expected for the year ending December 31, 2026 or for any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consolidated financial statements include the accounts of the Company and its wholly owned subsidiaries. All significant intercompany balances and transactions have been eliminated in consolidation.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as amended,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accompanying unaudited condensed consolidated financial statements with another public company that is neither an (i) emerging growth company nor (ii) emerging growth company that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accompanying unaudited condensed consolidated financial statements in conformity with GAAP requires Management to make estimates and assumptions that affect the reported amounts of assets and liabilities and disclosure of contingent assets and liabilities at the date of the accompanying unaudited condensed consolidated financial statements. Actual results could differ from those estimates. </w:t>
      </w:r>
    </w:p>
    <w:p>
      <w:pPr>
        <w:pStyle w:val="TextBody"/>
        <w:bidi w:val="0"/>
        <w:spacing w:before="240" w:after="0"/>
        <w:jc w:val="left"/>
        <w:rPr>
          <w:rFonts w:ascii="Times New Roman" w:hAnsi="Times New Roman"/>
          <w:sz w:val="20"/>
        </w:rPr>
      </w:pPr>
      <w:r>
        <w:rPr>
          <w:rFonts w:ascii="Times New Roman" w:hAnsi="Times New Roman"/>
          <w:sz w:val="20"/>
        </w:rPr>
        <w:t xml:space="preserve">Making estimates requires Management to exercise significant judgment. It is at least reasonably possible that the estimate of the effect of a condition, situation or set of circumstances that existed at the date of the accompanying unaudited condensed consolidated financial statements, which Management considered in formulating its estimate, could change in the near term due to one or more future confirming events. Accordingly, the actual results could differ significantly from those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short-term investments with an original maturity of three months or less when purchased to be cash. The Company had $1,124,492 and $1,329,433 in cash and cash equivalents as of March 31, 2026 and December 31, 2025,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Marketable Securities Held in Trust Account </w:t>
      </w:r>
    </w:p>
    <w:p>
      <w:pPr>
        <w:pStyle w:val="TextBody"/>
        <w:bidi w:val="0"/>
        <w:spacing w:before="120" w:after="0"/>
        <w:jc w:val="left"/>
        <w:rPr>
          <w:rFonts w:ascii="Times New Roman" w:hAnsi="Times New Roman"/>
          <w:sz w:val="20"/>
        </w:rPr>
      </w:pPr>
      <w:r>
        <w:rPr>
          <w:rFonts w:ascii="Times New Roman" w:hAnsi="Times New Roman"/>
          <w:sz w:val="20"/>
        </w:rPr>
        <w:t xml:space="preserve">The Company’s portfolio of investments is comprised of cash and Treasury securities, within the meaning set forth in Section 2(a)(16) of the Investment Company Act, with a maturity of 185 days or less, or investments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money market funds that invest in Treasury securities and generally have a readily determinable fair value, or a combination thereof. When the Company’s investments held in the Trust Account are comprised of Treasury securities, the investments are classified as trading securities, which are presented at fair value. Gains and losses resulting from the change in fair value of these securities are included in interest earned on marketable securities held in Trust Account in the accompanying unaudited condensed consolidated statements of operations. The estimated fair values of investments held in the Trust Account are determined using available market information. As of March 31, 2026 and December 31, 2025, the assets held in the Trust Account of $241,144,179 and $239,042,295 were held in money market funds,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Concentrations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a significant concentration of credit risk consist primarily of cash. Periodically, the Company may maintain deposits in financial institutions in excess of government insured limits. Any loss incurred or a lack of access to such funds could have a significant adverse impact on the Company’s financial condition,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Offering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the requirements of the FASB ASC Topic 340-10-S99, “Accounting for Offering Costs,” and SEC Staff Accounting Bulletin Topic 5A, “Expenses of Offering.” Offering costs consist principally of professional and registration fees that are related to the Initial Public Offering. FASB ASC Topic 470-20, “Debt with Conversion and Other Options,” addresses the allocation of proceeds from the issuance of convertible debt into its equity and debt components. The Company applied this guidance to allocate Initial Public Offering proceeds from the Units between Public Shares and Public Warrants, using the residual method by allocating Initial Public Offering proceeds first to assigned value of the Public Warrants and then to the Public Shares. Offering costs allocated to the Public Shares were charged to temporary equity. Offering costs allocated to the Warrants were charged to shareholders’ deficit. After Management’s evaluation, the Warrants were accounted for under equity treatment.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amounted to $7,723,148, consisting of $250,000 of cash underwriting fee, the Deferred Fee of $6,900,000 and $573,148 of other offering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assets and liabilities, which qualify as financial instruments under FASB ASC Topic 820, “Fair Value Measurements and Disclosures,” approximates the carrying amounts represented in the accompanying condensed consolidated balance sheets, primarily due to their short-term nature.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FASB ASC Topic 740, “Income Taxes” (“ASC 740”), which requires an asset and liability approach to financial accounting and reporting for income taxes. Deferred income tax assets and liabilities are computed for differences between the accompanying unaudited condensed consolidated financial statements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ASC 740 prescribes a recognition threshold and a measurement attribute for the accompanying unaudited condensed consolidated financial statements recognition and measurement of tax positions taken or expected to be taken in a tax return. For those benefits to be recognized, a tax position must be more likely than not to be sustained upon examination by taxing authorities. Management determined that the Cayman Islands is the Company’s major tax jurisdiction. The Company recognizes accrued interest and penalties related to unrecognized tax benefits as income tax expense. As of March 31, 2026 and December 31, 2025, there were no unrecognized tax benefits and no amounts accrued for interest and penalties. The Company is currently not aware of any issues under review that could result in significant payments, accruals or material deviation from its 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accounted for the Warrants issued in connection with the Initial Public Offering and the Private Placement in accordance with the guidance contained in FASB ASC Topic 815, “Derivatives and Hedging” (“ASC 815”). Accordingly, the Company evaluated and classified the Warrant instruments under equity treatment at their assigned values. </w:t>
      </w:r>
    </w:p>
    <w:p>
      <w:pPr>
        <w:pStyle w:val="TextBody"/>
        <w:bidi w:val="0"/>
        <w:spacing w:before="240" w:after="0"/>
        <w:jc w:val="left"/>
        <w:rPr>
          <w:rFonts w:ascii="Times New Roman" w:hAnsi="Times New Roman"/>
          <w:sz w:val="20"/>
        </w:rPr>
      </w:pPr>
      <w:r>
        <w:rPr>
          <w:rFonts w:ascii="Times New Roman" w:hAnsi="Times New Roman"/>
          <w:sz w:val="20"/>
        </w:rPr>
        <w:t xml:space="preserve">As of March 3, 2025, the fair value of the Public Warrants was $2,185,000, or $0.19 per Public Warrant. The fair value of Public Warrants was determined using the Monte Carlo Simulation Model. The Public Warrants have been classified within shareholders’ deficit and will not require remeasurement after issuance. The following table presents the quantitative information regarding market assumptions used in the level 3 valuation of the Public Warrants: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88"/>
        <w:gridCol w:w="601"/>
        <w:gridCol w:w="190"/>
        <w:gridCol w:w="780"/>
        <w:gridCol w:w="280"/>
      </w:tblGrid>
      <w:tr>
        <w:trPr/>
        <w:tc>
          <w:tcPr>
            <w:tcW w:w="5088"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088"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w:t>
              <w:br/>
              <w:t>2025</w:t>
            </w:r>
          </w:p>
        </w:tc>
        <w:tc>
          <w:tcPr>
            <w:tcW w:w="280" w:type="dxa"/>
            <w:tcBorders/>
            <w:vAlign w:val="bottom"/>
          </w:tcPr>
          <w:p>
            <w:pPr>
              <w:pStyle w:val="TableContents"/>
              <w:bidi w:val="0"/>
              <w:spacing w:before="0" w:after="283"/>
              <w:jc w:val="left"/>
              <w:rPr/>
            </w:pPr>
            <w:r>
              <w:rPr/>
              <w:t> </w:t>
            </w:r>
          </w:p>
        </w:tc>
      </w:tr>
      <w:tr>
        <w:trPr/>
        <w:tc>
          <w:tcPr>
            <w:tcW w:w="5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Implied Class A Ordinary Share price</w:t>
            </w:r>
          </w:p>
        </w:tc>
        <w:tc>
          <w:tcPr>
            <w:tcW w:w="6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80" w:type="dxa"/>
            <w:tcBorders/>
            <w:shd w:fill="CCEEFF" w:val="clear"/>
            <w:vAlign w:val="bottom"/>
          </w:tcPr>
          <w:p>
            <w:pPr>
              <w:pStyle w:val="TableContents"/>
              <w:bidi w:val="0"/>
              <w:spacing w:before="0" w:after="283"/>
              <w:jc w:val="right"/>
              <w:rPr/>
            </w:pPr>
            <w:r>
              <w:rPr/>
              <w:t>9.91</w:t>
            </w:r>
          </w:p>
        </w:tc>
        <w:tc>
          <w:tcPr>
            <w:tcW w:w="280" w:type="dxa"/>
            <w:tcBorders/>
            <w:shd w:fill="CCEEFF" w:val="clear"/>
            <w:vAlign w:val="bottom"/>
          </w:tcPr>
          <w:p>
            <w:pPr>
              <w:pStyle w:val="TableContents"/>
              <w:bidi w:val="0"/>
              <w:spacing w:before="0" w:after="283"/>
              <w:jc w:val="left"/>
              <w:rPr/>
            </w:pPr>
            <w:r>
              <w:rPr/>
              <w:t> </w:t>
            </w:r>
          </w:p>
        </w:tc>
      </w:tr>
      <w:tr>
        <w:trPr/>
        <w:tc>
          <w:tcPr>
            <w:tcW w:w="5088" w:type="dxa"/>
            <w:tcBorders/>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6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780" w:type="dxa"/>
            <w:tcBorders/>
            <w:vAlign w:val="bottom"/>
          </w:tcPr>
          <w:p>
            <w:pPr>
              <w:pStyle w:val="TableContents"/>
              <w:bidi w:val="0"/>
              <w:spacing w:before="0" w:after="283"/>
              <w:jc w:val="right"/>
              <w:rPr/>
            </w:pPr>
            <w:r>
              <w:rPr/>
              <w:t>11.50</w:t>
            </w:r>
          </w:p>
        </w:tc>
        <w:tc>
          <w:tcPr>
            <w:tcW w:w="280" w:type="dxa"/>
            <w:tcBorders/>
            <w:vAlign w:val="bottom"/>
          </w:tcPr>
          <w:p>
            <w:pPr>
              <w:pStyle w:val="TableContents"/>
              <w:bidi w:val="0"/>
              <w:spacing w:before="0" w:after="283"/>
              <w:jc w:val="left"/>
              <w:rPr/>
            </w:pPr>
            <w:r>
              <w:rPr/>
              <w:t> </w:t>
            </w:r>
          </w:p>
        </w:tc>
      </w:tr>
      <w:tr>
        <w:trPr/>
        <w:tc>
          <w:tcPr>
            <w:tcW w:w="5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Simulation term (years)</w:t>
            </w:r>
          </w:p>
        </w:tc>
        <w:tc>
          <w:tcPr>
            <w:tcW w:w="6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w:t>
            </w:r>
          </w:p>
        </w:tc>
        <w:tc>
          <w:tcPr>
            <w:tcW w:w="280" w:type="dxa"/>
            <w:tcBorders/>
            <w:shd w:fill="CCEEFF" w:val="clear"/>
            <w:vAlign w:val="bottom"/>
          </w:tcPr>
          <w:p>
            <w:pPr>
              <w:pStyle w:val="TableContents"/>
              <w:bidi w:val="0"/>
              <w:spacing w:before="0" w:after="283"/>
              <w:jc w:val="left"/>
              <w:rPr/>
            </w:pPr>
            <w:r>
              <w:rPr/>
              <w:t> </w:t>
            </w:r>
          </w:p>
        </w:tc>
      </w:tr>
      <w:tr>
        <w:trPr/>
        <w:tc>
          <w:tcPr>
            <w:tcW w:w="5088" w:type="dxa"/>
            <w:tcBorders/>
          </w:tcPr>
          <w:p>
            <w:pPr>
              <w:pStyle w:val="TableContents"/>
              <w:bidi w:val="0"/>
              <w:spacing w:before="0" w:after="0"/>
              <w:jc w:val="left"/>
              <w:rPr>
                <w:rFonts w:ascii="Times New Roman" w:hAnsi="Times New Roman"/>
                <w:sz w:val="20"/>
              </w:rPr>
            </w:pPr>
            <w:r>
              <w:rPr>
                <w:rFonts w:ascii="Times New Roman" w:hAnsi="Times New Roman"/>
                <w:sz w:val="20"/>
              </w:rPr>
              <w:t>Risk-free rate (continuous)</w:t>
            </w:r>
          </w:p>
        </w:tc>
        <w:tc>
          <w:tcPr>
            <w:tcW w:w="6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4.02</w:t>
            </w:r>
          </w:p>
        </w:tc>
        <w:tc>
          <w:tcPr>
            <w:tcW w:w="280" w:type="dxa"/>
            <w:tcBorders/>
            <w:vAlign w:val="bottom"/>
          </w:tcPr>
          <w:p>
            <w:pPr>
              <w:pStyle w:val="TableContents"/>
              <w:bidi w:val="0"/>
              <w:spacing w:before="0" w:after="283"/>
              <w:jc w:val="left"/>
              <w:rPr/>
            </w:pPr>
            <w:r>
              <w:rPr/>
              <w:t>% </w:t>
            </w:r>
          </w:p>
        </w:tc>
      </w:tr>
      <w:tr>
        <w:trPr/>
        <w:tc>
          <w:tcPr>
            <w:tcW w:w="5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Selected volatility</w:t>
            </w:r>
          </w:p>
        </w:tc>
        <w:tc>
          <w:tcPr>
            <w:tcW w:w="6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2.5</w:t>
            </w:r>
          </w:p>
        </w:tc>
        <w:tc>
          <w:tcPr>
            <w:tcW w:w="280" w:type="dxa"/>
            <w:tcBorders/>
            <w:shd w:fill="CCEEFF" w:val="clear"/>
            <w:vAlign w:val="bottom"/>
          </w:tcPr>
          <w:p>
            <w:pPr>
              <w:pStyle w:val="TableContents"/>
              <w:bidi w:val="0"/>
              <w:spacing w:before="0" w:after="283"/>
              <w:jc w:val="left"/>
              <w:rPr/>
            </w:pPr>
            <w:r>
              <w:rPr/>
              <w:t>% </w:t>
            </w:r>
          </w:p>
        </w:tc>
      </w:tr>
      <w:tr>
        <w:trPr/>
        <w:tc>
          <w:tcPr>
            <w:tcW w:w="5088" w:type="dxa"/>
            <w:tcBorders/>
          </w:tcPr>
          <w:p>
            <w:pPr>
              <w:pStyle w:val="TableContents"/>
              <w:bidi w:val="0"/>
              <w:spacing w:before="0" w:after="0"/>
              <w:jc w:val="left"/>
              <w:rPr>
                <w:rFonts w:ascii="Times New Roman" w:hAnsi="Times New Roman"/>
                <w:sz w:val="20"/>
              </w:rPr>
            </w:pPr>
            <w:r>
              <w:rPr>
                <w:rFonts w:ascii="Times New Roman" w:hAnsi="Times New Roman"/>
                <w:sz w:val="20"/>
              </w:rPr>
              <w:t>Probability of de-SPAC and market adjustment</w:t>
            </w:r>
          </w:p>
        </w:tc>
        <w:tc>
          <w:tcPr>
            <w:tcW w:w="6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15.0</w:t>
            </w:r>
          </w:p>
        </w:tc>
        <w:tc>
          <w:tcPr>
            <w:tcW w:w="280"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PIPE Subscription Agreements Liability </w:t>
      </w:r>
    </w:p>
    <w:p>
      <w:pPr>
        <w:pStyle w:val="TextBody"/>
        <w:bidi w:val="0"/>
        <w:spacing w:before="120" w:after="0"/>
        <w:jc w:val="left"/>
        <w:rPr>
          <w:rFonts w:ascii="Times New Roman" w:hAnsi="Times New Roman"/>
          <w:sz w:val="20"/>
        </w:rPr>
      </w:pPr>
      <w:r>
        <w:rPr>
          <w:rFonts w:ascii="Times New Roman" w:hAnsi="Times New Roman"/>
          <w:sz w:val="20"/>
        </w:rPr>
        <w:t xml:space="preserve">Contemporaneously with the execution of the Teamshares Merger Agreement, certain investors each entered into a private investment in public equity (“PIPE”) subscription agreement (collectively, the “PIPE Subscription Agreements”) with the Company in connection with the proposed Teamshares Business Combination. The Company accounts for each PIPE Subscription Agreement as a derivative instrument in accordance with the guidance in FASB ASC Topic 815-40, “Contracts in Entity’s Own Equity” (“ASC 815-40”). The instrument is subject to re-measurement at each balance sheet date, with changes in fair value recognized in the accompanying unaudited condensed consolidated statements of operations. As of March 31, 2026 and December 31, 2025, the fair value of the PIPE Subscription Agreements liability was $16,539,057 and $15,274,088,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Class A Ordinary Shares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Public Shares contain a redemption feature that allows for the redemption of such Public Shares in connection with the Company’s liquidation, or if there is a shareholder vote or tender offer in connection with the initial Business Combination. In accordance with FASB ASC Topic 480-10-S99, “Distinguishing Liabilities from Equity,” the Company classifies Class A Ordinary Shares subject to possible redemption outside of permanent equity as the redemption provisions are not solely within the control of the Company. The Company recognizes changes in redemption value immediately as they occur and will adjust the carrying value of redeemable shares to equal the redemption value at the end of each reporting period. Immediately upon the closing of the Initial Public Offering, the Company recognized the accretion from initial book value to redemption amount value. The change in the carrying value of redeemable Class A Ordinary Shares resulted in charges against additional paid-in capital (to the extent available) and an accumulated deficit. Accordingly, as of March 31, 2026 and December 31, 2025, Class A Ordinary Shares subject to possible redemption are presented at redemption value as temporary equity, outside of the shareholders’ deficit section of the accompanying condensed consolidated balance sheets. As of March 31, 2026 and December 31, 2025, the Class A Ordinary Shares subject to possible redemption reflected in the accompanying condensed consolidated balance sheets are reconciled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22"/>
        <w:gridCol w:w="449"/>
        <w:gridCol w:w="147"/>
        <w:gridCol w:w="1460"/>
        <w:gridCol w:w="161"/>
      </w:tblGrid>
      <w:tr>
        <w:trPr/>
        <w:tc>
          <w:tcPr>
            <w:tcW w:w="4722"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proceeds</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460" w:type="dxa"/>
            <w:tcBorders/>
            <w:shd w:fill="CCEEFF" w:val="clear"/>
            <w:vAlign w:val="bottom"/>
          </w:tcPr>
          <w:p>
            <w:pPr>
              <w:pStyle w:val="TableContents"/>
              <w:bidi w:val="0"/>
              <w:spacing w:before="0" w:after="283"/>
              <w:jc w:val="right"/>
              <w:rPr/>
            </w:pPr>
            <w:r>
              <w:rPr/>
              <w:t>230,000,000</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allocated to Public Warrants</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(2,185,000</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issuance costs</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(7,638,884</w:t>
            </w:r>
          </w:p>
        </w:tc>
        <w:tc>
          <w:tcPr>
            <w:tcW w:w="161" w:type="dxa"/>
            <w:tcBorders/>
            <w:vAlign w:val="bottom"/>
          </w:tcPr>
          <w:p>
            <w:pPr>
              <w:pStyle w:val="TableContents"/>
              <w:bidi w:val="0"/>
              <w:spacing w:before="0" w:after="283"/>
              <w:jc w:val="left"/>
              <w:rPr/>
            </w:pPr>
            <w:r>
              <w:rPr/>
              <w:t>) </w:t>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Accretion for Class A ordinary shares to redemption amount</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18,866,179</w:t>
            </w:r>
          </w:p>
        </w:tc>
        <w:tc>
          <w:tcPr>
            <w:tcW w:w="161" w:type="dxa"/>
            <w:tcBorders/>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 December 31, 2025</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239,042,295</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for Class A ordinary shares to redemption amount</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2,101,884</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 March 31, 2026</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460" w:type="dxa"/>
            <w:tcBorders/>
            <w:vAlign w:val="bottom"/>
          </w:tcPr>
          <w:p>
            <w:pPr>
              <w:pStyle w:val="TableContents"/>
              <w:bidi w:val="0"/>
              <w:spacing w:before="0" w:after="283"/>
              <w:jc w:val="right"/>
              <w:rPr/>
            </w:pPr>
            <w:r>
              <w:rPr/>
              <w:t>241,144,179</w:t>
            </w:r>
          </w:p>
        </w:tc>
        <w:tc>
          <w:tcPr>
            <w:tcW w:w="161" w:type="dxa"/>
            <w:tcBorders/>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46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Ordinary Share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accounting and disclosure requirements of FASB ASC Topic 260, “Earnings Per Share.” The Company has two classes of Ordinary Shares, Class A Ordinary Shares and Class B Ordinary Shares (as defined in Note 5). Income and losses are shared pro rata between the two classes of Ordinary Shares. This presentation assumes a Business Combination as the most likely outcome. Net loss per Ordinary Share is calculated by dividing the net loss by the weighted average Ordinary Shares outstanding for the respective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reflects the calculation of basic and diluted net loss per Ordinary Share (in dollars, except per share amounts):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13"/>
        <w:gridCol w:w="305"/>
        <w:gridCol w:w="140"/>
        <w:gridCol w:w="1114"/>
        <w:gridCol w:w="157"/>
        <w:gridCol w:w="305"/>
        <w:gridCol w:w="140"/>
        <w:gridCol w:w="982"/>
        <w:gridCol w:w="157"/>
        <w:gridCol w:w="305"/>
        <w:gridCol w:w="140"/>
        <w:gridCol w:w="1081"/>
        <w:gridCol w:w="157"/>
        <w:gridCol w:w="305"/>
        <w:gridCol w:w="140"/>
        <w:gridCol w:w="1080"/>
        <w:gridCol w:w="167"/>
      </w:tblGrid>
      <w:tr>
        <w:trPr/>
        <w:tc>
          <w:tcPr>
            <w:tcW w:w="2713"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71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620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March 31,</w:t>
            </w:r>
          </w:p>
        </w:tc>
        <w:tc>
          <w:tcPr>
            <w:tcW w:w="167" w:type="dxa"/>
            <w:tcBorders/>
            <w:vAlign w:val="bottom"/>
          </w:tcPr>
          <w:p>
            <w:pPr>
              <w:pStyle w:val="TableContents"/>
              <w:bidi w:val="0"/>
              <w:spacing w:before="0" w:after="283"/>
              <w:jc w:val="left"/>
              <w:rPr/>
            </w:pPr>
            <w:r>
              <w:rPr/>
              <w:t> </w:t>
            </w:r>
          </w:p>
        </w:tc>
      </w:tr>
      <w:tr>
        <w:trPr/>
        <w:tc>
          <w:tcPr>
            <w:tcW w:w="271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8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7"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9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7" w:type="dxa"/>
            <w:tcBorders/>
            <w:vAlign w:val="bottom"/>
          </w:tcPr>
          <w:p>
            <w:pPr>
              <w:pStyle w:val="TableContents"/>
              <w:bidi w:val="0"/>
              <w:spacing w:before="0" w:after="283"/>
              <w:jc w:val="left"/>
              <w:rPr/>
            </w:pPr>
            <w:r>
              <w:rPr/>
              <w:t> </w:t>
            </w:r>
          </w:p>
        </w:tc>
      </w:tr>
      <w:tr>
        <w:trPr/>
        <w:tc>
          <w:tcPr>
            <w:tcW w:w="271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157"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157"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157"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167" w:type="dxa"/>
            <w:tcBorders/>
            <w:vAlign w:val="bottom"/>
          </w:tcPr>
          <w:p>
            <w:pPr>
              <w:pStyle w:val="TableContents"/>
              <w:bidi w:val="0"/>
              <w:spacing w:before="0" w:after="283"/>
              <w:jc w:val="left"/>
              <w:rPr/>
            </w:pPr>
            <w:r>
              <w:rPr/>
              <w:t> </w:t>
            </w:r>
          </w:p>
        </w:tc>
      </w:tr>
      <w:tr>
        <w:trPr/>
        <w:tc>
          <w:tcPr>
            <w:tcW w:w="2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net loss per share:</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8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c>
          <w:tcPr>
            <w:tcW w:w="2713"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4"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1"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 of net loss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4" w:type="dxa"/>
            <w:tcBorders/>
            <w:shd w:fill="CCEEFF" w:val="clear"/>
            <w:vAlign w:val="bottom"/>
          </w:tcPr>
          <w:p>
            <w:pPr>
              <w:pStyle w:val="TableContents"/>
              <w:bidi w:val="0"/>
              <w:spacing w:before="0" w:after="283"/>
              <w:jc w:val="right"/>
              <w:rPr/>
            </w:pPr>
            <w:r>
              <w:rPr/>
              <w:t>(103,442</w:t>
            </w:r>
          </w:p>
        </w:tc>
        <w:tc>
          <w:tcPr>
            <w:tcW w:w="157"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(25,861</w:t>
            </w:r>
          </w:p>
        </w:tc>
        <w:tc>
          <w:tcPr>
            <w:tcW w:w="157"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81" w:type="dxa"/>
            <w:tcBorders/>
            <w:shd w:fill="CCEEFF" w:val="clear"/>
            <w:vAlign w:val="bottom"/>
          </w:tcPr>
          <w:p>
            <w:pPr>
              <w:pStyle w:val="TableContents"/>
              <w:bidi w:val="0"/>
              <w:spacing w:before="0" w:after="283"/>
              <w:jc w:val="right"/>
              <w:rPr/>
            </w:pPr>
            <w:r>
              <w:rPr/>
              <w:t>(3,692,303</w:t>
            </w:r>
          </w:p>
        </w:tc>
        <w:tc>
          <w:tcPr>
            <w:tcW w:w="157"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80" w:type="dxa"/>
            <w:tcBorders/>
            <w:shd w:fill="CCEEFF" w:val="clear"/>
            <w:vAlign w:val="bottom"/>
          </w:tcPr>
          <w:p>
            <w:pPr>
              <w:pStyle w:val="TableContents"/>
              <w:bidi w:val="0"/>
              <w:spacing w:before="0" w:after="283"/>
              <w:jc w:val="right"/>
              <w:rPr/>
            </w:pPr>
            <w:r>
              <w:rPr/>
              <w:t>(2,611,460</w:t>
            </w:r>
          </w:p>
        </w:tc>
        <w:tc>
          <w:tcPr>
            <w:tcW w:w="167" w:type="dxa"/>
            <w:tcBorders/>
            <w:shd w:fill="CCEEFF" w:val="clear"/>
            <w:vAlign w:val="bottom"/>
          </w:tcPr>
          <w:p>
            <w:pPr>
              <w:pStyle w:val="TableContents"/>
              <w:bidi w:val="0"/>
              <w:spacing w:before="0" w:after="283"/>
              <w:jc w:val="left"/>
              <w:rPr/>
            </w:pPr>
            <w:r>
              <w:rPr/>
              <w:t>) </w:t>
            </w:r>
          </w:p>
        </w:tc>
      </w:tr>
      <w:tr>
        <w:trPr/>
        <w:tc>
          <w:tcPr>
            <w:tcW w:w="2713"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4"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1"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weighted average Ordinary Shares outstanding</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23,000,000</w:t>
            </w:r>
          </w:p>
        </w:tc>
        <w:tc>
          <w:tcPr>
            <w:tcW w:w="157"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5,750,000</w:t>
            </w:r>
          </w:p>
        </w:tc>
        <w:tc>
          <w:tcPr>
            <w:tcW w:w="157"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7,411,111</w:t>
            </w:r>
          </w:p>
        </w:tc>
        <w:tc>
          <w:tcPr>
            <w:tcW w:w="157"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5,241,667</w:t>
            </w:r>
          </w:p>
        </w:tc>
        <w:tc>
          <w:tcPr>
            <w:tcW w:w="167" w:type="dxa"/>
            <w:tcBorders/>
            <w:shd w:fill="CCEEFF" w:val="clear"/>
            <w:vAlign w:val="bottom"/>
          </w:tcPr>
          <w:p>
            <w:pPr>
              <w:pStyle w:val="TableContents"/>
              <w:bidi w:val="0"/>
              <w:spacing w:before="0" w:after="283"/>
              <w:jc w:val="left"/>
              <w:rPr/>
            </w:pPr>
            <w:r>
              <w:rPr/>
              <w:t> </w:t>
            </w:r>
          </w:p>
        </w:tc>
      </w:tr>
      <w:tr>
        <w:trPr/>
        <w:tc>
          <w:tcPr>
            <w:tcW w:w="2713"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271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loss per Ordinary Share</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14" w:type="dxa"/>
            <w:tcBorders/>
            <w:vAlign w:val="bottom"/>
          </w:tcPr>
          <w:p>
            <w:pPr>
              <w:pStyle w:val="TableContents"/>
              <w:bidi w:val="0"/>
              <w:spacing w:before="0" w:after="283"/>
              <w:jc w:val="right"/>
              <w:rPr>
                <w:b/>
              </w:rPr>
            </w:pPr>
            <w:r>
              <w:rPr>
                <w:b/>
              </w:rPr>
              <w:t>(0.00</w:t>
            </w:r>
          </w:p>
        </w:tc>
        <w:tc>
          <w:tcPr>
            <w:tcW w:w="157" w:type="dxa"/>
            <w:tcBorders/>
            <w:vAlign w:val="bottom"/>
          </w:tcPr>
          <w:p>
            <w:pPr>
              <w:pStyle w:val="TableContents"/>
              <w:bidi w:val="0"/>
              <w:spacing w:before="0" w:after="283"/>
              <w:jc w:val="left"/>
              <w:rPr>
                <w:b/>
              </w:rPr>
            </w:pPr>
            <w:r>
              <w:rPr>
                <w:b/>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2" w:type="dxa"/>
            <w:tcBorders/>
            <w:vAlign w:val="bottom"/>
          </w:tcPr>
          <w:p>
            <w:pPr>
              <w:pStyle w:val="TableContents"/>
              <w:bidi w:val="0"/>
              <w:spacing w:before="0" w:after="283"/>
              <w:jc w:val="right"/>
              <w:rPr>
                <w:b/>
              </w:rPr>
            </w:pPr>
            <w:r>
              <w:rPr>
                <w:b/>
              </w:rPr>
              <w:t>(0.00</w:t>
            </w:r>
          </w:p>
        </w:tc>
        <w:tc>
          <w:tcPr>
            <w:tcW w:w="157" w:type="dxa"/>
            <w:tcBorders/>
            <w:vAlign w:val="bottom"/>
          </w:tcPr>
          <w:p>
            <w:pPr>
              <w:pStyle w:val="TableContents"/>
              <w:bidi w:val="0"/>
              <w:spacing w:before="0" w:after="283"/>
              <w:jc w:val="left"/>
              <w:rPr>
                <w:b/>
              </w:rPr>
            </w:pPr>
            <w:r>
              <w:rPr>
                <w:b/>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81" w:type="dxa"/>
            <w:tcBorders/>
            <w:vAlign w:val="bottom"/>
          </w:tcPr>
          <w:p>
            <w:pPr>
              <w:pStyle w:val="TableContents"/>
              <w:bidi w:val="0"/>
              <w:spacing w:before="0" w:after="283"/>
              <w:jc w:val="right"/>
              <w:rPr>
                <w:b/>
              </w:rPr>
            </w:pPr>
            <w:r>
              <w:rPr>
                <w:b/>
              </w:rPr>
              <w:t>(0.50</w:t>
            </w:r>
          </w:p>
        </w:tc>
        <w:tc>
          <w:tcPr>
            <w:tcW w:w="157" w:type="dxa"/>
            <w:tcBorders/>
            <w:vAlign w:val="bottom"/>
          </w:tcPr>
          <w:p>
            <w:pPr>
              <w:pStyle w:val="TableContents"/>
              <w:bidi w:val="0"/>
              <w:spacing w:before="0" w:after="283"/>
              <w:jc w:val="left"/>
              <w:rPr>
                <w:b/>
              </w:rPr>
            </w:pPr>
            <w:r>
              <w:rPr>
                <w:b/>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80" w:type="dxa"/>
            <w:tcBorders/>
            <w:vAlign w:val="bottom"/>
          </w:tcPr>
          <w:p>
            <w:pPr>
              <w:pStyle w:val="TableContents"/>
              <w:bidi w:val="0"/>
              <w:spacing w:before="0" w:after="283"/>
              <w:jc w:val="right"/>
              <w:rPr>
                <w:b/>
              </w:rPr>
            </w:pPr>
            <w:r>
              <w:rPr>
                <w:b/>
              </w:rPr>
              <w:t>(0.50</w:t>
            </w:r>
          </w:p>
        </w:tc>
        <w:tc>
          <w:tcPr>
            <w:tcW w:w="167" w:type="dxa"/>
            <w:tcBorders/>
            <w:vAlign w:val="bottom"/>
          </w:tcPr>
          <w:p>
            <w:pPr>
              <w:pStyle w:val="TableContents"/>
              <w:bidi w:val="0"/>
              <w:spacing w:before="0" w:after="283"/>
              <w:jc w:val="left"/>
              <w:rPr>
                <w:b/>
              </w:rPr>
            </w:pPr>
            <w:r>
              <w:rPr>
                <w:b/>
              </w:rPr>
              <w:t>) </w:t>
            </w:r>
          </w:p>
        </w:tc>
      </w:tr>
      <w:tr>
        <w:trPr/>
        <w:tc>
          <w:tcPr>
            <w:tcW w:w="2713"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81"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80"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In November 2024, the FASB issued Accounting Standards Update (“ASU”) Topic 2024-03, “Income Statement-Reporting Comprehensive Income-Expense Disaggregation Disclosures (Subtopic 220-40): Disaggregation of Income Statement Expenses” (“ASC 2024-03”),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before="240" w:after="0"/>
        <w:jc w:val="left"/>
        <w:rPr>
          <w:rFonts w:ascii="Times New Roman" w:hAnsi="Times New Roman"/>
          <w:sz w:val="20"/>
        </w:rPr>
      </w:pPr>
      <w:r>
        <w:rPr>
          <w:rFonts w:ascii="Times New Roman" w:hAnsi="Times New Roman"/>
          <w:sz w:val="20"/>
        </w:rPr>
        <w:t xml:space="preserve">Management does not believe that any other recently issued, but not effective, accounting standards, if currently adopted, would have a material effect on the accompanying unaudited condensed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3.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In the Initial Public Offering, the Company sold 23,000,000 Units, which included the full exercise of the Over-Allotment Option of 3,000,000 Option Units, at a purchase price of $10.00 per Unit. Each Unit consists of one Class A Ordinary Share, and one-half of one Public Warrant. Each whole Public Warrant entitles the holder to purchase one Class A Ordinary Share at a price of $11.50 per share, subject to adjustment. Each Public Warrant will become exercisable 30 days after the completion of the initial Business Combination and will expire five years after the completion of the initial Business Combination, or earlier upon redemption or liquidation.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4.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an aggregate of 4,500,000 Private Placement Warrants at a price of $1.00 per Private Placement Warrant in a private placement to the Sponsor, generating gross proceeds of $4,500,000. Each whole warrant entitles the registered holder to purchase one Class A Ordinary Share at a price of $11.50 per share, subject to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an aggregate of 4,500,000 Private Placement Warrants at a price of $1.00 per Private Placement Warrant, in the Private Placement to the Sponsor, generating gross proceeds of $4,500,000.” Each whole Warrant entitles the holder to purchase one Class A Ordinary Share at a price of $11.50 per share,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The Private Placement Warrants are identical to the Public Warrants sold in the Initial Public Offering except that, so long as they are held by the Sponsor, or their permitted transferees, the Private Placement Warrants (i) may not (including the Class A Ordinary Shares issuable upon exercise of these Private Placement Warrants), subject to certain limited exceptions, be transferred, assigned or sold by the holders until 30 days after the completion of the initial Business Combination and (ii) will be entitled to registration rights. </w:t>
      </w:r>
    </w:p>
    <w:p>
      <w:pPr>
        <w:pStyle w:val="TextBody"/>
        <w:bidi w:val="0"/>
        <w:spacing w:before="360" w:after="0"/>
        <w:jc w:val="left"/>
        <w:rPr>
          <w:rFonts w:ascii="Times New Roman" w:hAnsi="Times New Roman"/>
          <w:b/>
          <w:sz w:val="20"/>
        </w:rPr>
      </w:pPr>
      <w:r>
        <w:rPr>
          <w:rFonts w:ascii="Times New Roman" w:hAnsi="Times New Roman"/>
          <w:b/>
          <w:sz w:val="20"/>
        </w:rPr>
        <w:t xml:space="preserve">NOTE 5.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Founder Shares </w:t>
      </w:r>
    </w:p>
    <w:p>
      <w:pPr>
        <w:pStyle w:val="TextBody"/>
        <w:bidi w:val="0"/>
        <w:spacing w:before="120" w:after="0"/>
        <w:jc w:val="left"/>
        <w:rPr>
          <w:rFonts w:ascii="Times New Roman" w:hAnsi="Times New Roman"/>
          <w:sz w:val="20"/>
        </w:rPr>
      </w:pPr>
      <w:r>
        <w:rPr>
          <w:rFonts w:ascii="Times New Roman" w:hAnsi="Times New Roman"/>
          <w:sz w:val="20"/>
        </w:rPr>
        <w:t xml:space="preserve">On December 20, 2024, the Sponsor made a capital contribution of $25,000, or approximately $0.004 per share, by payment of offering costs on the Company’s behalf, for which the Company issued 5,750,000 of the Company’s Class B ordinary shares, par value $0.0001 per share (the “Class B Ordinary Shares,” and together with the Class A Ordinary Shares, the “Ordinary Shares”), to the Sponsor (such shares, the “Founder Shares”). Up to 750,000 of the Founder Shares could have been surrendered by the Sponsor for no consideration depending on the extent to which the Over-Allotment Option was exercised. On March 3, 2025, the Underwriters exercised their Over-Allotment Option in full as part of the closing of the Initial Public Offering. As such, those 750,000 Founder Shares are no longer subject to forfeiture.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an aggregate of 4,500,000 Private Placement Warrants at a price of $1.00 per Private Placement Warrant in the Private Placement to the Sponsor, generating gross proceeds of $4,500,000. Each whole Private Placement Warrant entitles the registered holder to purchase one Class A Ordinary Share at a price of $11.50 per share,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original Letter Agreement entered into at the time of the Initial Public Offering, the Sponsor and the Company’s directors and officers have agreed not to transfer, assign or sell any of their Founder Shares and any Class A Ordinary Shares issued upon conversion thereof until the earlier to occur of (i) one year after the completion of the initial Business Combination or (ii) the date on which the Company completes a liquidation, merger, share exchange or other similar transaction after the initial Business Combination that results in all of the Company’s shareholders having the right to exchange their Class A Ordinary Shares for cash, securities or other property. Any permitted transferees will be subject to the same restrictions and other agreements as the Sponsor and the Company’s directors and officers with respect to any Founder Shares (the “Lock-up”). Notwithstanding the foregoing, if (x) the closing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if the Company consummates a transaction after the initial Business Combination that results in the Company’s shareholders having the right to exchange their shares for cash, securities or other property, the Founder Shares will be released from the Lock-up. </w:t>
      </w:r>
    </w:p>
    <w:p>
      <w:pPr>
        <w:pStyle w:val="TextBody"/>
        <w:bidi w:val="0"/>
        <w:spacing w:before="240" w:after="0"/>
        <w:jc w:val="left"/>
        <w:rPr>
          <w:rFonts w:ascii="Times New Roman" w:hAnsi="Times New Roman"/>
          <w:sz w:val="20"/>
        </w:rPr>
      </w:pPr>
      <w:r>
        <w:rPr>
          <w:rFonts w:ascii="Times New Roman" w:hAnsi="Times New Roman"/>
          <w:sz w:val="20"/>
        </w:rPr>
        <w:t xml:space="preserve">On November 14, 2025, contemporaneously with the execution and delivery of the Teamshares Merger Agreement, the Company, Sponsor and Teamshares entered into an amendment to the Letter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to amend the Lock-up period for the Founder Shares, effective as of the Closing, to six months after the Closing (other than Released Former Sponsor Shares (as defined below), which will not be subject to such Lock-up restrictions). On April 1, 2026, the parties entered into a second amendment to the Letter Agreement, which provides for the release of transfer restrictions on up to 1,150,000 Incentive Founder Shares (as defined therein) upon Closing, contingent upon their use in connection with certain interim financing arrangements or agreements to support non-redemption commitments by public shareholders (such shares, the “Released Former Sponsor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IPO Promissory Note — Related Party </w:t>
      </w:r>
    </w:p>
    <w:p>
      <w:pPr>
        <w:pStyle w:val="TextBody"/>
        <w:bidi w:val="0"/>
        <w:spacing w:before="120" w:after="0"/>
        <w:jc w:val="left"/>
        <w:rPr>
          <w:rFonts w:ascii="Times New Roman" w:hAnsi="Times New Roman"/>
          <w:sz w:val="20"/>
        </w:rPr>
      </w:pPr>
      <w:r>
        <w:rPr>
          <w:rFonts w:ascii="Times New Roman" w:hAnsi="Times New Roman"/>
          <w:sz w:val="20"/>
        </w:rPr>
        <w:t xml:space="preserve">The Sponsor agreed to loan the Company an aggregate of up to $300,000 to be used for a portion of the expenses of the Initial Public Offering pursuant to a promissory note (the “IPO Promissory Note”). The loan was non-interest bearing, unsecured and payable on the date of the Initial Public Offering from the proceeds of the $1,000,000 of offering proceeds that has been allocated to the payment of offering expenses. As of March 30, 2026, the outstanding balance on the IPO Promissory Note was $0. Borrowings under the IPO Promissory Note are no longer available.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Administrative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Commencing on February 28, 2025, and until the completion of the Business Combination or liquidation, the Company reimburses an affiliate of the Sponsor, $17,500 per month for office space, utilities, and secretarial and administrative support. For the three months ended March 31, 2026 and 2025, the Company incurred and paid $52,500 and $17,500 in fees for these services,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Working Capital Loans </w:t>
      </w:r>
    </w:p>
    <w:p>
      <w:pPr>
        <w:pStyle w:val="TextBody"/>
        <w:bidi w:val="0"/>
        <w:spacing w:before="120" w:after="0"/>
        <w:jc w:val="left"/>
        <w:rPr>
          <w:rFonts w:ascii="Times New Roman" w:hAnsi="Times New Roman"/>
          <w:sz w:val="20"/>
        </w:rPr>
      </w:pPr>
      <w:r>
        <w:rPr>
          <w:rFonts w:ascii="Times New Roman" w:hAnsi="Times New Roman"/>
          <w:sz w:val="20"/>
        </w:rPr>
        <w:t xml:space="preserve">In order to finance transaction costs in connection with a Business Combination, the Sponsor or an affiliate of the Sponsor or certain of the Company’s officers and directors may, but are not obligated to, loan the Company funds as may be required.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Up to $1,500,000 of such Working Capital Loans may be convertible into warrants of the post-Business Combination entity at a price of $1.00 per warrant at the option of the lender. The warrants would be identical to the Private Placement Warrants. As of March 31, 2026 and December 31, 2025, no such Working Capital Loans were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Due from Sponsor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covered certain expenses on behalf of its Sponsor, paying $713 as of March 31, 2026 and December 31, 2025, of which such amount is included in due from Sponsor in the accompanying condensed consolidated balance sheets. </w:t>
      </w:r>
    </w:p>
    <w:p>
      <w:pPr>
        <w:pStyle w:val="TextBody"/>
        <w:bidi w:val="0"/>
        <w:spacing w:before="360" w:after="0"/>
        <w:jc w:val="left"/>
        <w:rPr>
          <w:rFonts w:ascii="Times New Roman" w:hAnsi="Times New Roman"/>
          <w:sz w:val="20"/>
        </w:rPr>
      </w:pPr>
      <w:r>
        <w:rPr>
          <w:rFonts w:ascii="Times New Roman" w:hAnsi="Times New Roman"/>
          <w:b/>
          <w:sz w:val="20"/>
        </w:rPr>
        <w:t>NOTE 6. COMMITMENTS</w:t>
      </w:r>
      <w:r>
        <w:rPr>
          <w:rFonts w:ascii="Times New Roman" w:hAnsi="Times New Roman"/>
          <w:sz w:val="20"/>
        </w:rPr>
        <w:t> </w:t>
      </w:r>
      <w:r>
        <w:rPr>
          <w:rFonts w:ascii="Times New Roman" w:hAnsi="Times New Roman"/>
          <w:b/>
          <w:sz w:val="20"/>
        </w:rPr>
        <w:t xml:space="preserve">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ability to complete an initial Business Combination may be adversely affected by various factors, many of which are beyond the Company’s control. The Company’s ability to consummate an initial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Business Combination could be impacted by, among other things, changes in laws or regulations, downturns in the financial markets or in economic conditions, inflation, fluctuations in interest rates, increases in tariffs, supply chain disruptions, declines in consumer confidence and spending, public health considerations, and geopolitical instability, such as the military conflicts in Ukraine, between the United States, Israel, Iran and others in the Middle East, and Southwest Asia or other armed hostilities. The Company cannot at this time predict the likelihood of one or more of the above events, their duration or magnitude or the extent to which they may negatively impact the Company’s ability to complete an initial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(i) Founder Shares, (ii) Private Placement Warrants and (iii) warrants that may be issued upon conversion of Working Capital Loans (and in each case holders of their underlying securities, as applicable) have registration rights to require the Company to register for resale of any of the Company’s securities held by them and any other securities of the Company acquired by them prior to the consummation of the initial Business Combination pursuant to a registration rights agreement, dated February 27, 2025, which the Company entered into with the Sponsor and the other signatories thereto.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had a 45-day option from the date of the Initial Public Offering to purchase up to an additional 3,000,000 Option Units to cover over-allotments, if any. On March 3, 2025, simultaneously with the closing of the Initial Public Offering, the Underwriters elected to fully exercise the Over-Allotment Option to purchase the additional 3,000,000 Option Units at a price of $10.00 per Option Unit.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were paid a commission of $250,000 upon the closing of the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also entitled to a deferred underwriting discount of $6,900,000 (3.0% of the gross proceeds of the Initial Public Offering held in the Trust Account) upon the completion of the initial Business Combination subject to the terms of the underwriting agreement, dated February 24, 2025 (the “Deferred Fee”), but such Deferred Fee shall be based partly on amounts remaining in the Trust Account following all properly submitted shareholder redemptions in connection with the consummation of the initial Business Combination. The Company had agreed to reimburse the Underwriters for certain out-of-pocket costs for the Initial Public Offering up to an aggregate reimbursement allowance of $35,000 for legal fees related to the review by Financial Industry Regulatory Authority.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Advisory Fee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Deferred Fee, the Company engaged Santander US Capital Markets LLC, the representative of the Underwriters (the “Representative”), to provide advisory services from time to time. As compensation for the services provided under an engagement letter, the Company shall pay the Representative a fee equal to 3.00% of the gross proceeds raised in the Initial Public Offering, payable upon closing of such initial Business Combination (the “Advisory Fee”). The Company has agreed to indemnify the Representative and its affiliates in connection with its role in providing the advisory services. The termination clause in the engagement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deems the Advisory Fee earned and recordable as of March 31, 2026 and December 31, 2025, and $6,900,000 has been recorded as deferred advisory fee on the accompanying condensed consolidated balance sheets,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PIPE 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Contemporaneously with the execution of the Teamshares Merger Agreement, certain investors each entered into the PIPE Subscription Agreements with the Company in connection with the proposed Teamshares Business Combination. Pursuant to the PIPE Subscription Agreements, such investors committed to purchase shares of the Company’s Class A common stock at $9.20 per share, subject to customary closing conditions. The PIPE investment is expected to close concurrently with the consummation of the Teamshares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each PIPE Subscription Agreement as a derivative instrument in accordance with the guidance in ASC 815-40. The instrument is subject to re-measurement at each balance sheet date, with changes in fair value recognized in the accompanying unaudited condensed consolidated statements of operations. As of March 31, 2026 and December 31, 2025, the fair value of the PIPE Subscription Agreements liability was $16,539,057 and $15,274,088,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Fee Letter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Teamshares Business Combination, on December 24, 2025 the Company entered into a fee letter agreement pursuant to which the Company is obligated to pay a closing fee of $1,000,000 to the lenders in connection with a credit agreement entered into by Teamshares, if a forward purchase agreement (“FPA”) is entered into by the termination date (the “Fee Letter Agreement”). If an FPA is not entered into by the termination date the fee payable to lenders would increase to $5,000,000. The Fee Letter Agreement was analyzed under ASC 815 and concluded that the Sponsor Compensation (as defined under the Fee Letter Agreement) obligation must be accounted for as a liability, measured at fair value with changes recognized in earnings, because equity classification under ASC 815-40 is explicitly precluded. The Company assessed the value of the Fee Letter Agreement and determined it to be immaterial to the accompanying unaudited condensed consolidated financial statements, and as such, no liability or expense has been recorded in connection with the Fee Letter Agreement as of March 31, 2026. </w:t>
      </w:r>
    </w:p>
    <w:p>
      <w:pPr>
        <w:pStyle w:val="TextBody"/>
        <w:bidi w:val="0"/>
        <w:spacing w:before="360" w:after="0"/>
        <w:jc w:val="left"/>
        <w:rPr>
          <w:rFonts w:ascii="Times New Roman" w:hAnsi="Times New Roman"/>
          <w:b/>
          <w:sz w:val="20"/>
        </w:rPr>
      </w:pPr>
      <w:r>
        <w:rPr>
          <w:rFonts w:ascii="Times New Roman" w:hAnsi="Times New Roman"/>
          <w:b/>
          <w:sz w:val="20"/>
        </w:rPr>
        <w:t xml:space="preserve">NOTE 7. SHAREHOLDERS’ DEFICIT </w:t>
      </w:r>
    </w:p>
    <w:p>
      <w:pPr>
        <w:pStyle w:val="TextBody"/>
        <w:bidi w:val="0"/>
        <w:spacing w:before="120" w:after="0"/>
        <w:jc w:val="left"/>
        <w:rPr>
          <w:rFonts w:ascii="Times New Roman" w:hAnsi="Times New Roman"/>
          <w:b/>
          <w:i/>
          <w:sz w:val="20"/>
        </w:rPr>
      </w:pPr>
      <w:r>
        <w:rPr>
          <w:rFonts w:ascii="Times New Roman" w:hAnsi="Times New Roman"/>
          <w:b/>
          <w:i/>
          <w:sz w:val="20"/>
        </w:rPr>
        <w:t xml:space="preserve">Preference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a total of 5,000,000 preference shares at par value of $0.0001 each. At March 31, 2026 and December 31, 2025, there were no preference shares issued or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A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a total of 500,000,000 Class A Ordinary Shares at par value of $0.0001 each. As of March 31, 2026 and December 31, 2025, there were no Class A Ordinary Shares issued or outstanding, excluding the 23,000,000 Class A Ordinary Shares subject to possible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B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a total of 50,000,000 Class B Ordinary Shares at par value of $0.0001 each. On December 20, 2024, the Company issued 5,750,000 Class B Ordinary Shares to the Sponsor for $25,000,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approximately $0.004 per share. As of March 31, 2026 and December 31, 2025, there were 5,750,000 Class B Ordinary Shares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will automatically convert into Class A Ordinary Shares concurrently with or immediately following the consummation of the initial Business Combination or earlier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sold in the Initial Public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20.00% of the sum of (i) the total number of all Class A Ordinary Shares outstanding upon the completion of the Initial Public Offering (including any Class A Ordinary Shares issued pursuant to the exercises of the Over-Allotment Option and excluding the Class A Ordinary Shares issuable upon exercise of the Private Placement Warrants), plus (ii) all Class A Ordinary Shares and equity-linked securities issued or deemed issued, in connection with the closing of the initial Business Combination (excluding any shares or equity-linked securities issued, or to be issued, to any seller in the initial Business Combination and any warrants issued to the Sponsor or any of its affiliates or to the Company’s officers or directors upon conversion of Working Capital Loans) minus (iii) any redemptions of Public Shares by Public Shareholders in connection with an initial Business Combination; provided that such conversion of Founder Shares will never occur on a less than one-for-one basis.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Ordinary Shares are entitled to one vote for each Ordinary Share held on all matters to be voted on by shareholders. Unless specified in the Amended and Restated Articles or as required by the Companies Act (As Revised) of the Cayman Islands or stock exchange rules, an ordinary resolution under Cayman Islands law and the Amended and Restated Articles,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the Company’s shareholders. Approval of certain actions requires a special resolution under Cayman Islands law, which (except as specified below) requires the affirmative vote of at least two-thirds of the votes cast by such shareholders as, being entitled to do so, vote in person or, where proxies are allowed, by proxy at the applicable general meeting, and pursuant to the Amended and Restated Articles, such actions include amending the Amended and Restated Articles and approving a statutory merger or consolidation with another company. There is no cumulative voting with respect to the appointment of directors, meaning, following the initial Business Combination, the holders of more than 50% of the Ordinary Shares voted for the appointment of directors can elect all of the directors. Prior to the consummation of the initial Business Combination, only holders of the Class B Ordinary Shares (i) have the right to vote on the appointment and removal of directors and (ii) are entitled to vote on continuing the Company in a jurisdiction outside the Cayman Islands (including any special resolution required to amend the constitutional documents or to adopt new constitutional documents, in each case, as a result of approving a transfer by way of continuation in a jurisdiction outside the Cayman Islands). Holders of Class A Ordinary Shares are not entitled to vote on these matters during such time. These provisions of the Amended and Restated Articles may only be amended if approved by a special resolution passed by the affirmative vote of at least 90% (or, where such amendment is proposed in respect of the consummation of the initial Business Combination, two-thirds) of the votes cast by such shareholders as, being entitled to do so, vote in person or, where proxies are allowed, by proxy at the applicable general meeting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and December 31, 2025, there were 16,000,000 Warrants outstanding, including 11,500,000 Public Warrants and 4,500,000 Private Placement Warrants. Each whole Warrant entitles the holder to purchase one Class A Ordinary Share at a price of $11.50 per share, subject to adjustment as discussed herein. The Warrants cannot be exercised until 30 days after the completion of the initial Business Combination, and will expire at 5:00 p.m., New York City time, five years after the completion of the initial Business Combination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be obligated to deliver any Class A Ordinary Shares pursuant to the exercise of a Warrant and will have no obligation to settle such Warrant exercise unless a registration statement under the Securities Act with respect to the Class A Ordinary Shares issuable upon exercise of the Warrants is then effective and a prospectus relating thereto is current.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Warrant Agreement, dated February 27, 2025 that the Company entered into with Continental (the “Warrant Agreement”), the Company has agreed that, as soon as practicable, but in no event later than 20 business days, after the closing of its Business Combination, it will use its commercially reasonable efforts to file with the SEC a post-effective amendment to the IPO Registration Statement or a new registration statement covering the registration under the Securities Act of the Class A Ordinary Shares issuable upon exercise of the Warrants and thereafter will use its commercially reasonable efforts to cause the same to become effective within 60 business days following the initial Business Combination and to maintain a current prospectus relating to the Class A Ordinary Shares issuable upon exercise of the Warrants until the expiration of the Warrants in accordance with the provisions of the Warrant Agreement. If a registration statement covering the Class A Ordinary Shares issuable upon exercise of the Warrants is not effective by the sixtieth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commercially reasonable efforts to register or qualify the Class A Ordinary Shares under applicable blue sky laws to the extent an exemption is not available. </w:t>
      </w:r>
    </w:p>
    <w:p>
      <w:pPr>
        <w:pStyle w:val="TextBody"/>
        <w:bidi w:val="0"/>
        <w:spacing w:before="240" w:after="0"/>
        <w:jc w:val="left"/>
        <w:rPr>
          <w:rFonts w:ascii="Times New Roman" w:hAnsi="Times New Roman"/>
          <w:sz w:val="20"/>
        </w:rPr>
      </w:pPr>
      <w:r>
        <w:rPr>
          <w:rFonts w:ascii="Times New Roman" w:hAnsi="Times New Roman"/>
          <w:sz w:val="20"/>
        </w:rPr>
        <w:t xml:space="preserve">If the holders exercise their Public Warrants on a cashless basis, they would pay the warrant exercise price by surrendering the Public Warrants for that number of Class A Ordinary Shares equal to the quotient obtained by dividing (x) the product of the number of Class A Ordinary Shares issuable upon exercise of the Public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multiplied by the excess of the “fair market value” of the Class A Ordinary Shares over the exercise price of the Public Warrants by (y) the fair market value. The “fair market value” is the average reported closing price of the Class A Ordinary Shares for the 10 trading days ending on the third trading day prior to the date on which the notice of exercise is received by the warrant agent or on which the notice of redemption is sent to the holders of Public Warrants,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redeem the outstanding Public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price of $0.01 per Public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 minimum of 30 days’ prior written notice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closing price of the Class A Ordinary Shares equals or exceeds $18.00 per share (as adjusted for adjustments to the number of Class A Ordinary Shares issuable upon exercise or the exercise price of a Public Warrant) for any 20 trading days within a 30-trading day period commencing at least 30 days after completion of the initial Business Combination and ending three business days before the Company sends the notice of redemption to the warrant 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if the number of outstanding Class A Ordinary Shares is increased by a share capitalization payable in Class A Ordinary Shares, or by a subdivision of Ordinary Shares or other similar event, then, on the effective date of such share capitalization, subdivision or similar event, the number of Class A Ordinary Shares issuable upon exercise of each Warrant will be increased in proportion to such increase in the outstanding Ordinary Shares. A rights offering made to all or substantially all holders of Ordinary Shares entitling holders to purchase 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(x) the Company issues additional Class A Ordinary Shares or equity-linked securities for capital raising purposes in connection with the closing of the initial Business Combination at an issue price or effective issue price of less than $9.20 per Class A Ordinary Share (with such issue price or effective issue price to be determined in good faith by the Board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(including from such issuances and the Initial Public Offering),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the initial Business Combination (such price, the “Market Value”) is below $9.20 per share, then the exercise price of the Warrants will be adjusted (to the nearest cent) to be equal to 115%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higher of the Market Value and the Newly Issued Price, and the $18.00 per share redemption trigger will be adjusted (to the nearest cent) to be equal to 180% of the higher of the Market Value and the Newly Issued Price. </w:t>
      </w:r>
    </w:p>
    <w:p>
      <w:pPr>
        <w:pStyle w:val="TextBody"/>
        <w:bidi w:val="0"/>
        <w:spacing w:before="360" w:after="0"/>
        <w:jc w:val="left"/>
        <w:rPr>
          <w:rFonts w:ascii="Times New Roman" w:hAnsi="Times New Roman"/>
          <w:b/>
          <w:sz w:val="20"/>
        </w:rPr>
      </w:pPr>
      <w:r>
        <w:rPr>
          <w:rFonts w:ascii="Times New Roman" w:hAnsi="Times New Roman"/>
          <w:b/>
          <w:sz w:val="20"/>
        </w:rPr>
        <w:t>NOTE 8. FAIR VALUE MEASUREMENTS</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816"/>
        <w:gridCol w:w="9084"/>
      </w:tblGrid>
      <w:tr>
        <w:trPr/>
        <w:tc>
          <w:tcPr>
            <w:tcW w:w="305"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Level 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Quoted prices in active markets for identical assets or liabilities. An active market for an asset or liability is a market in which transactions for the asset or liability occur with sufficient frequency and volume to provide pricing information on an ongoing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816"/>
        <w:gridCol w:w="9084"/>
      </w:tblGrid>
      <w:tr>
        <w:trPr/>
        <w:tc>
          <w:tcPr>
            <w:tcW w:w="305"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Level 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Observable inputs other than Level 1 inputs. Examples of Level 2 inputs include quoted prices in active markets for similar assets or liabilities and quoted prices for identical assets or liabilities in markets that are not active.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816"/>
        <w:gridCol w:w="9084"/>
      </w:tblGrid>
      <w:tr>
        <w:trPr/>
        <w:tc>
          <w:tcPr>
            <w:tcW w:w="305"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Level 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Unobservable inputs based on an assessment of the assumptions that market participants would use in pricing the asset or liability. </w:t>
            </w:r>
          </w:p>
        </w:tc>
      </w:tr>
    </w:tbl>
    <w:p>
      <w:pPr>
        <w:pStyle w:val="TextBody"/>
        <w:bidi w:val="0"/>
        <w:spacing w:before="240" w:after="0"/>
        <w:jc w:val="left"/>
        <w:rPr>
          <w:rFonts w:ascii="Times New Roman" w:hAnsi="Times New Roman"/>
          <w:sz w:val="20"/>
        </w:rPr>
      </w:pPr>
      <w:r>
        <w:rPr>
          <w:rFonts w:ascii="Times New Roman" w:hAnsi="Times New Roman"/>
          <w:sz w:val="20"/>
        </w:rPr>
        <w:t>The Company classifies its securities in the Trust Account that are invested in funds, such as Mutual Funds or Money Market Funds, that primarily invest in Treasury and equivalent securities as Trading Securities in accordance with FASB ASC Topic 320 “Investments–Debt and Equity Securities.” Trading Securities are recorded at fair market value on the accompanying condensed consolidated balance sheets.</w:t>
      </w:r>
    </w:p>
    <w:p>
      <w:pPr>
        <w:pStyle w:val="TextBody"/>
        <w:bidi w:val="0"/>
        <w:spacing w:before="240" w:after="0"/>
        <w:jc w:val="left"/>
        <w:rPr>
          <w:rFonts w:ascii="Times New Roman" w:hAnsi="Times New Roman"/>
          <w:sz w:val="20"/>
        </w:rPr>
      </w:pPr>
      <w:r>
        <w:rPr>
          <w:rFonts w:ascii="Times New Roman" w:hAnsi="Times New Roman"/>
          <w:sz w:val="20"/>
        </w:rPr>
        <w:t xml:space="preserve">At March 31, 2026, assets held in the Trust Account were comprised of $241,144,179 in a mutual fund that is invested primarily in Treasury securities. For the three months ended March 31, 2026, the Company did not withdraw any of the interest earned on the Trust Account.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49"/>
        <w:gridCol w:w="270"/>
        <w:gridCol w:w="154"/>
        <w:gridCol w:w="1359"/>
        <w:gridCol w:w="60"/>
        <w:gridCol w:w="270"/>
        <w:gridCol w:w="204"/>
        <w:gridCol w:w="611"/>
        <w:gridCol w:w="60"/>
        <w:gridCol w:w="270"/>
        <w:gridCol w:w="154"/>
        <w:gridCol w:w="1219"/>
        <w:gridCol w:w="60"/>
        <w:gridCol w:w="270"/>
        <w:gridCol w:w="154"/>
        <w:gridCol w:w="1359"/>
        <w:gridCol w:w="65"/>
      </w:tblGrid>
      <w:tr>
        <w:trPr/>
        <w:tc>
          <w:tcPr>
            <w:tcW w:w="2849"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84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20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Measured as of March 31, 2026</w:t>
            </w:r>
          </w:p>
        </w:tc>
        <w:tc>
          <w:tcPr>
            <w:tcW w:w="65" w:type="dxa"/>
            <w:tcBorders/>
            <w:vAlign w:val="bottom"/>
          </w:tcPr>
          <w:p>
            <w:pPr>
              <w:pStyle w:val="TableContents"/>
              <w:bidi w:val="0"/>
              <w:spacing w:before="0" w:after="283"/>
              <w:jc w:val="left"/>
              <w:rPr/>
            </w:pPr>
            <w:r>
              <w:rPr/>
              <w:t> </w:t>
            </w:r>
          </w:p>
        </w:tc>
      </w:tr>
      <w:tr>
        <w:trPr/>
        <w:tc>
          <w:tcPr>
            <w:tcW w:w="284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2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6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849"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 – U.S. Treasury Securities Money Market Fund</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241,144,179</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6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241,144,179</w:t>
            </w:r>
          </w:p>
        </w:tc>
        <w:tc>
          <w:tcPr>
            <w:tcW w:w="65" w:type="dxa"/>
            <w:tcBorders/>
            <w:vAlign w:val="bottom"/>
          </w:tcPr>
          <w:p>
            <w:pPr>
              <w:pStyle w:val="TableContents"/>
              <w:bidi w:val="0"/>
              <w:spacing w:before="0" w:after="283"/>
              <w:jc w:val="left"/>
              <w:rPr/>
            </w:pPr>
            <w:r>
              <w:rPr/>
              <w:t> </w:t>
            </w:r>
          </w:p>
        </w:tc>
      </w:tr>
      <w:tr>
        <w:trPr/>
        <w:tc>
          <w:tcPr>
            <w:tcW w:w="2849"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6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6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849" w:type="dxa"/>
            <w:tcBorders/>
          </w:tcPr>
          <w:p>
            <w:pPr>
              <w:pStyle w:val="TableContents"/>
              <w:bidi w:val="0"/>
              <w:spacing w:before="0" w:after="0"/>
              <w:jc w:val="left"/>
              <w:rPr>
                <w:rFonts w:ascii="Times New Roman" w:hAnsi="Times New Roman"/>
                <w:sz w:val="20"/>
              </w:rPr>
            </w:pPr>
            <w:r>
              <w:rPr>
                <w:rFonts w:ascii="Times New Roman" w:hAnsi="Times New Roman"/>
                <w:sz w:val="20"/>
              </w:rPr>
              <w:t>PIPE Subscription Agreements liability</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6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16,539,057</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16,539,057</w:t>
            </w:r>
          </w:p>
        </w:tc>
        <w:tc>
          <w:tcPr>
            <w:tcW w:w="65" w:type="dxa"/>
            <w:tcBorders/>
            <w:vAlign w:val="bottom"/>
          </w:tcPr>
          <w:p>
            <w:pPr>
              <w:pStyle w:val="TableContents"/>
              <w:bidi w:val="0"/>
              <w:spacing w:before="0" w:after="283"/>
              <w:jc w:val="left"/>
              <w:rPr/>
            </w:pPr>
            <w:r>
              <w:rPr/>
              <w:t> </w:t>
            </w:r>
          </w:p>
        </w:tc>
      </w:tr>
      <w:tr>
        <w:trPr/>
        <w:tc>
          <w:tcPr>
            <w:tcW w:w="2849"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6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At December 31, 2025, assets held in the Trust Account were comprised of $239,042,295 in a mutual fund that is invested primarily in Treasury securities. For the year ended December 31, 2025, the Company did not withdraw any of the interest earned on the Trust Account.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49"/>
        <w:gridCol w:w="270"/>
        <w:gridCol w:w="154"/>
        <w:gridCol w:w="1359"/>
        <w:gridCol w:w="60"/>
        <w:gridCol w:w="270"/>
        <w:gridCol w:w="204"/>
        <w:gridCol w:w="611"/>
        <w:gridCol w:w="60"/>
        <w:gridCol w:w="270"/>
        <w:gridCol w:w="154"/>
        <w:gridCol w:w="1219"/>
        <w:gridCol w:w="60"/>
        <w:gridCol w:w="270"/>
        <w:gridCol w:w="154"/>
        <w:gridCol w:w="1359"/>
        <w:gridCol w:w="65"/>
      </w:tblGrid>
      <w:tr>
        <w:trPr/>
        <w:tc>
          <w:tcPr>
            <w:tcW w:w="2849"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84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20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Measured as of December 31, 2025</w:t>
            </w:r>
          </w:p>
        </w:tc>
        <w:tc>
          <w:tcPr>
            <w:tcW w:w="65" w:type="dxa"/>
            <w:tcBorders/>
            <w:vAlign w:val="bottom"/>
          </w:tcPr>
          <w:p>
            <w:pPr>
              <w:pStyle w:val="TableContents"/>
              <w:bidi w:val="0"/>
              <w:spacing w:before="0" w:after="283"/>
              <w:jc w:val="left"/>
              <w:rPr/>
            </w:pPr>
            <w:r>
              <w:rPr/>
              <w:t> </w:t>
            </w:r>
          </w:p>
        </w:tc>
      </w:tr>
      <w:tr>
        <w:trPr/>
        <w:tc>
          <w:tcPr>
            <w:tcW w:w="284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2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6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849"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 – U.S. Treasury Securities Money Market Fund</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239,042,295</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6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239,042,295</w:t>
            </w:r>
          </w:p>
        </w:tc>
        <w:tc>
          <w:tcPr>
            <w:tcW w:w="65" w:type="dxa"/>
            <w:tcBorders/>
            <w:vAlign w:val="bottom"/>
          </w:tcPr>
          <w:p>
            <w:pPr>
              <w:pStyle w:val="TableContents"/>
              <w:bidi w:val="0"/>
              <w:spacing w:before="0" w:after="283"/>
              <w:jc w:val="left"/>
              <w:rPr/>
            </w:pPr>
            <w:r>
              <w:rPr/>
              <w:t> </w:t>
            </w:r>
          </w:p>
        </w:tc>
      </w:tr>
      <w:tr>
        <w:trPr/>
        <w:tc>
          <w:tcPr>
            <w:tcW w:w="2849"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6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6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849" w:type="dxa"/>
            <w:tcBorders/>
          </w:tcPr>
          <w:p>
            <w:pPr>
              <w:pStyle w:val="TableContents"/>
              <w:bidi w:val="0"/>
              <w:spacing w:before="0" w:after="0"/>
              <w:jc w:val="left"/>
              <w:rPr>
                <w:rFonts w:ascii="Times New Roman" w:hAnsi="Times New Roman"/>
                <w:sz w:val="20"/>
              </w:rPr>
            </w:pPr>
            <w:r>
              <w:rPr>
                <w:rFonts w:ascii="Times New Roman" w:hAnsi="Times New Roman"/>
                <w:sz w:val="20"/>
              </w:rPr>
              <w:t>PIPE Subscription Agreements liability</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6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15,274,088</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15,274,088</w:t>
            </w:r>
          </w:p>
        </w:tc>
        <w:tc>
          <w:tcPr>
            <w:tcW w:w="65" w:type="dxa"/>
            <w:tcBorders/>
            <w:vAlign w:val="bottom"/>
          </w:tcPr>
          <w:p>
            <w:pPr>
              <w:pStyle w:val="TableContents"/>
              <w:bidi w:val="0"/>
              <w:spacing w:before="0" w:after="283"/>
              <w:jc w:val="left"/>
              <w:rPr/>
            </w:pPr>
            <w:r>
              <w:rPr/>
              <w:t> </w:t>
            </w:r>
          </w:p>
        </w:tc>
      </w:tr>
      <w:tr>
        <w:trPr/>
        <w:tc>
          <w:tcPr>
            <w:tcW w:w="2849"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6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PIPE Subscription Agreements Liability </w:t>
      </w:r>
    </w:p>
    <w:p>
      <w:pPr>
        <w:pStyle w:val="TextBody"/>
        <w:bidi w:val="0"/>
        <w:spacing w:before="120" w:after="0"/>
        <w:jc w:val="left"/>
        <w:rPr>
          <w:rFonts w:ascii="Times New Roman" w:hAnsi="Times New Roman"/>
          <w:sz w:val="20"/>
        </w:rPr>
      </w:pPr>
      <w:r>
        <w:rPr>
          <w:rFonts w:ascii="Times New Roman" w:hAnsi="Times New Roman"/>
          <w:sz w:val="20"/>
        </w:rPr>
        <w:t xml:space="preserve">In order to calculate the fair value of the PIPE Subscription Agreements derivative liability, the Company utilized the following inputs: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13"/>
        <w:gridCol w:w="541"/>
        <w:gridCol w:w="214"/>
        <w:gridCol w:w="856"/>
        <w:gridCol w:w="275"/>
        <w:gridCol w:w="448"/>
        <w:gridCol w:w="283"/>
        <w:gridCol w:w="1146"/>
        <w:gridCol w:w="279"/>
      </w:tblGrid>
      <w:tr>
        <w:trPr/>
        <w:tc>
          <w:tcPr>
            <w:tcW w:w="3713" w:type="dxa"/>
            <w:tcBorders/>
            <w:vAlign w:val="center"/>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713"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275"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279" w:type="dxa"/>
            <w:tcBorders/>
            <w:vAlign w:val="bottom"/>
          </w:tcPr>
          <w:p>
            <w:pPr>
              <w:pStyle w:val="TableContents"/>
              <w:bidi w:val="0"/>
              <w:spacing w:before="0" w:after="283"/>
              <w:jc w:val="left"/>
              <w:rPr/>
            </w:pPr>
            <w:r>
              <w:rPr/>
              <w:t> </w:t>
            </w:r>
          </w:p>
        </w:tc>
      </w:tr>
      <w:tr>
        <w:trPr/>
        <w:tc>
          <w:tcPr>
            <w:tcW w:w="3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Probability of Business Combination</w:t>
            </w:r>
          </w:p>
        </w:tc>
        <w:tc>
          <w:tcPr>
            <w:tcW w:w="54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95</w:t>
            </w:r>
          </w:p>
        </w:tc>
        <w:tc>
          <w:tcPr>
            <w:tcW w:w="275"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90</w:t>
            </w:r>
          </w:p>
        </w:tc>
        <w:tc>
          <w:tcPr>
            <w:tcW w:w="279" w:type="dxa"/>
            <w:tcBorders/>
            <w:shd w:fill="CCEEFF" w:val="clear"/>
            <w:vAlign w:val="bottom"/>
          </w:tcPr>
          <w:p>
            <w:pPr>
              <w:pStyle w:val="TableContents"/>
              <w:bidi w:val="0"/>
              <w:spacing w:before="0" w:after="283"/>
              <w:jc w:val="left"/>
              <w:rPr/>
            </w:pPr>
            <w:r>
              <w:rPr/>
              <w:t>% </w:t>
            </w:r>
          </w:p>
        </w:tc>
      </w:tr>
      <w:tr>
        <w:trPr/>
        <w:tc>
          <w:tcPr>
            <w:tcW w:w="3713" w:type="dxa"/>
            <w:tcBorders/>
          </w:tcPr>
          <w:p>
            <w:pPr>
              <w:pStyle w:val="TableContents"/>
              <w:bidi w:val="0"/>
              <w:spacing w:before="0" w:after="0"/>
              <w:jc w:val="left"/>
              <w:rPr>
                <w:rFonts w:ascii="Times New Roman" w:hAnsi="Times New Roman"/>
                <w:sz w:val="20"/>
              </w:rPr>
            </w:pPr>
            <w:r>
              <w:rPr>
                <w:rFonts w:ascii="Times New Roman" w:hAnsi="Times New Roman"/>
                <w:sz w:val="20"/>
              </w:rPr>
              <w:t>Underlying Ordinary Share price</w:t>
            </w:r>
          </w:p>
        </w:tc>
        <w:tc>
          <w:tcPr>
            <w:tcW w:w="54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10.40</w:t>
            </w:r>
          </w:p>
        </w:tc>
        <w:tc>
          <w:tcPr>
            <w:tcW w:w="275"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46" w:type="dxa"/>
            <w:tcBorders/>
            <w:vAlign w:val="bottom"/>
          </w:tcPr>
          <w:p>
            <w:pPr>
              <w:pStyle w:val="TableContents"/>
              <w:bidi w:val="0"/>
              <w:spacing w:before="0" w:after="283"/>
              <w:jc w:val="right"/>
              <w:rPr/>
            </w:pPr>
            <w:r>
              <w:rPr/>
              <w:t>10.30</w:t>
            </w:r>
          </w:p>
        </w:tc>
        <w:tc>
          <w:tcPr>
            <w:tcW w:w="279" w:type="dxa"/>
            <w:tcBorders/>
            <w:vAlign w:val="bottom"/>
          </w:tcPr>
          <w:p>
            <w:pPr>
              <w:pStyle w:val="TableContents"/>
              <w:bidi w:val="0"/>
              <w:spacing w:before="0" w:after="283"/>
              <w:jc w:val="left"/>
              <w:rPr/>
            </w:pPr>
            <w:r>
              <w:rPr/>
              <w:t> </w:t>
            </w:r>
          </w:p>
        </w:tc>
      </w:tr>
      <w:tr>
        <w:trPr/>
        <w:tc>
          <w:tcPr>
            <w:tcW w:w="3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(years)</w:t>
            </w:r>
          </w:p>
        </w:tc>
        <w:tc>
          <w:tcPr>
            <w:tcW w:w="54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0.21</w:t>
            </w:r>
          </w:p>
        </w:tc>
        <w:tc>
          <w:tcPr>
            <w:tcW w:w="275"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0.41</w:t>
            </w:r>
          </w:p>
        </w:tc>
        <w:tc>
          <w:tcPr>
            <w:tcW w:w="279" w:type="dxa"/>
            <w:tcBorders/>
            <w:shd w:fill="CCEEFF" w:val="clear"/>
            <w:vAlign w:val="bottom"/>
          </w:tcPr>
          <w:p>
            <w:pPr>
              <w:pStyle w:val="TableContents"/>
              <w:bidi w:val="0"/>
              <w:spacing w:before="0" w:after="283"/>
              <w:jc w:val="left"/>
              <w:rPr/>
            </w:pPr>
            <w:r>
              <w:rPr/>
              <w:t> </w:t>
            </w:r>
          </w:p>
        </w:tc>
      </w:tr>
      <w:tr>
        <w:trPr/>
        <w:tc>
          <w:tcPr>
            <w:tcW w:w="3713" w:type="dxa"/>
            <w:tcBorders/>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54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3.74</w:t>
            </w:r>
          </w:p>
        </w:tc>
        <w:tc>
          <w:tcPr>
            <w:tcW w:w="275"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3.62</w:t>
            </w:r>
          </w:p>
        </w:tc>
        <w:tc>
          <w:tcPr>
            <w:tcW w:w="279" w:type="dxa"/>
            <w:tcBorders/>
            <w:vAlign w:val="bottom"/>
          </w:tcPr>
          <w:p>
            <w:pPr>
              <w:pStyle w:val="TableContents"/>
              <w:bidi w:val="0"/>
              <w:spacing w:before="0" w:after="283"/>
              <w:jc w:val="left"/>
              <w:rPr/>
            </w:pPr>
            <w:r>
              <w:rPr/>
              <w:t>% </w:t>
            </w:r>
          </w:p>
        </w:tc>
      </w:tr>
      <w:tr>
        <w:trPr/>
        <w:tc>
          <w:tcPr>
            <w:tcW w:w="3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Volatility</w:t>
            </w:r>
          </w:p>
        </w:tc>
        <w:tc>
          <w:tcPr>
            <w:tcW w:w="54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1.50</w:t>
            </w:r>
          </w:p>
        </w:tc>
        <w:tc>
          <w:tcPr>
            <w:tcW w:w="275"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4.60</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changes in the fair value of the PIPE Subscription Agreements derivative liability: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32"/>
        <w:gridCol w:w="439"/>
        <w:gridCol w:w="151"/>
        <w:gridCol w:w="1357"/>
        <w:gridCol w:w="160"/>
      </w:tblGrid>
      <w:tr>
        <w:trPr/>
        <w:tc>
          <w:tcPr>
            <w:tcW w:w="4832" w:type="dxa"/>
            <w:tcBorders/>
            <w:vAlign w:val="center"/>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32"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5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PIPE</w:t>
              <w:br/>
              <w:t>Subscription</w:t>
              <w:br/>
              <w:t>Agreements</w:t>
            </w:r>
          </w:p>
        </w:tc>
        <w:tc>
          <w:tcPr>
            <w:tcW w:w="160"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as of November 14, 2025 (initial measurement)</w:t>
            </w:r>
          </w:p>
        </w:tc>
        <w:tc>
          <w:tcPr>
            <w:tcW w:w="43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57" w:type="dxa"/>
            <w:tcBorders/>
            <w:shd w:fill="CCEEFF" w:val="clear"/>
            <w:vAlign w:val="bottom"/>
          </w:tcPr>
          <w:p>
            <w:pPr>
              <w:pStyle w:val="TableContents"/>
              <w:bidi w:val="0"/>
              <w:spacing w:before="0" w:after="283"/>
              <w:jc w:val="right"/>
              <w:rPr/>
            </w:pPr>
            <w:r>
              <w:rPr/>
              <w:t>15,582,052</w:t>
            </w:r>
          </w:p>
        </w:tc>
        <w:tc>
          <w:tcPr>
            <w:tcW w:w="160"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43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(307,964</w:t>
            </w:r>
          </w:p>
        </w:tc>
        <w:tc>
          <w:tcPr>
            <w:tcW w:w="160" w:type="dxa"/>
            <w:tcBorders/>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as of December 31, 2025</w:t>
            </w:r>
          </w:p>
        </w:tc>
        <w:tc>
          <w:tcPr>
            <w:tcW w:w="43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15,274,088</w:t>
            </w:r>
          </w:p>
        </w:tc>
        <w:tc>
          <w:tcPr>
            <w:tcW w:w="160"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43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1,264,969</w:t>
            </w:r>
          </w:p>
        </w:tc>
        <w:tc>
          <w:tcPr>
            <w:tcW w:w="160" w:type="dxa"/>
            <w:tcBorders/>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as of March 31, 2026</w:t>
            </w:r>
          </w:p>
        </w:tc>
        <w:tc>
          <w:tcPr>
            <w:tcW w:w="43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57" w:type="dxa"/>
            <w:tcBorders/>
            <w:shd w:fill="CCEEFF" w:val="clear"/>
            <w:vAlign w:val="bottom"/>
          </w:tcPr>
          <w:p>
            <w:pPr>
              <w:pStyle w:val="TableContents"/>
              <w:bidi w:val="0"/>
              <w:spacing w:before="0" w:after="283"/>
              <w:jc w:val="right"/>
              <w:rPr/>
            </w:pPr>
            <w:r>
              <w:rPr/>
              <w:t>16,539,057</w:t>
            </w:r>
          </w:p>
        </w:tc>
        <w:tc>
          <w:tcPr>
            <w:tcW w:w="160" w:type="dxa"/>
            <w:tcBorders/>
            <w:shd w:fill="CCEEFF" w:val="clear"/>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5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change in the fair value of the PIPE Subscription Agreements liability for the three months ended March 31, 2026 is $1,264,969. </w:t>
      </w:r>
    </w:p>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between fair value levels during the three months ended March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9.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FASB ASC Topic 280, “Segment Reporting,” establishes standards for companies to report in their financial statements information about operating segments, products, services, geographic areas, and major customers. Operating segments are defined as components of an enterprise for which separate financial information is available that is regularly evaluated by the Company’s chief operating decision maker (the “CODM”), or group, in deciding how to allocate resources and assess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has been identified as the Chief Financial Officer, who reviews the operating results for the Company as a whole to make decisions about allocating resources and assessing financial performance. The accounting policies used to measure the profit and loss of the segment are the same as those described in the summary of significant accounting policies. Therefore, the Company has one reportable segment. </w:t>
      </w:r>
    </w:p>
    <w:p>
      <w:pPr>
        <w:pStyle w:val="TextBody"/>
        <w:bidi w:val="0"/>
        <w:spacing w:before="240" w:after="0"/>
        <w:jc w:val="left"/>
        <w:rPr>
          <w:rFonts w:ascii="Times New Roman" w:hAnsi="Times New Roman"/>
          <w:sz w:val="20"/>
        </w:rPr>
      </w:pPr>
      <w:r>
        <w:rPr>
          <w:rFonts w:ascii="Times New Roman" w:hAnsi="Times New Roman"/>
          <w:sz w:val="20"/>
        </w:rPr>
        <w:t xml:space="preserve">The CODM assesses performance for the single segment and decides how to allocate resources based on net loss that also is reported on the accompanying unaudited condensed consolidated statements of operations as net loss. The measure of segment assets is reported on the accompanying condensed consolidated balance sheets as total assets. When evaluating the Company’s performance and making key decisions regarding resource allocation, the CODM reviews several key metrics included in net loss and total assets, which include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59"/>
        <w:gridCol w:w="389"/>
        <w:gridCol w:w="142"/>
        <w:gridCol w:w="1361"/>
        <w:gridCol w:w="60"/>
        <w:gridCol w:w="389"/>
        <w:gridCol w:w="145"/>
        <w:gridCol w:w="1446"/>
        <w:gridCol w:w="64"/>
      </w:tblGrid>
      <w:tr>
        <w:trPr/>
        <w:tc>
          <w:tcPr>
            <w:tcW w:w="3759"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59"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5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rPr/>
            </w:pPr>
            <w:r>
              <w:rPr/>
              <w:t> </w:t>
            </w:r>
          </w:p>
        </w:tc>
      </w:tr>
      <w:tr>
        <w:trPr/>
        <w:tc>
          <w:tcPr>
            <w:tcW w:w="3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38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361" w:type="dxa"/>
            <w:tcBorders/>
            <w:shd w:fill="CCEEFF" w:val="clear"/>
            <w:vAlign w:val="bottom"/>
          </w:tcPr>
          <w:p>
            <w:pPr>
              <w:pStyle w:val="TableContents"/>
              <w:bidi w:val="0"/>
              <w:spacing w:before="0" w:after="283"/>
              <w:jc w:val="right"/>
              <w:rPr/>
            </w:pPr>
            <w:r>
              <w:rPr/>
              <w:t>241,144,179</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446" w:type="dxa"/>
            <w:tcBorders/>
            <w:shd w:fill="CCEEFF" w:val="clear"/>
            <w:vAlign w:val="bottom"/>
          </w:tcPr>
          <w:p>
            <w:pPr>
              <w:pStyle w:val="TableContents"/>
              <w:bidi w:val="0"/>
              <w:spacing w:before="0" w:after="283"/>
              <w:jc w:val="right"/>
              <w:rPr/>
            </w:pPr>
            <w:r>
              <w:rPr/>
              <w:t>239,042,295</w:t>
            </w:r>
          </w:p>
        </w:tc>
        <w:tc>
          <w:tcPr>
            <w:tcW w:w="64" w:type="dxa"/>
            <w:tcBorders/>
            <w:shd w:fill="CCEEFF" w:val="clear"/>
            <w:vAlign w:val="bottom"/>
          </w:tcPr>
          <w:p>
            <w:pPr>
              <w:pStyle w:val="TableContents"/>
              <w:bidi w:val="0"/>
              <w:spacing w:before="0" w:after="283"/>
              <w:jc w:val="left"/>
              <w:rPr/>
            </w:pPr>
            <w:r>
              <w:rPr/>
              <w:t> </w:t>
            </w:r>
          </w:p>
        </w:tc>
      </w:tr>
      <w:tr>
        <w:trPr/>
        <w:tc>
          <w:tcPr>
            <w:tcW w:w="375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8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361" w:type="dxa"/>
            <w:tcBorders/>
            <w:vAlign w:val="bottom"/>
          </w:tcPr>
          <w:p>
            <w:pPr>
              <w:pStyle w:val="TableContents"/>
              <w:bidi w:val="0"/>
              <w:spacing w:before="0" w:after="283"/>
              <w:jc w:val="right"/>
              <w:rPr/>
            </w:pPr>
            <w:r>
              <w:rPr/>
              <w:t>1,124,492</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446" w:type="dxa"/>
            <w:tcBorders/>
            <w:vAlign w:val="bottom"/>
          </w:tcPr>
          <w:p>
            <w:pPr>
              <w:pStyle w:val="TableContents"/>
              <w:bidi w:val="0"/>
              <w:spacing w:before="0" w:after="283"/>
              <w:jc w:val="right"/>
              <w:rPr/>
            </w:pPr>
            <w:r>
              <w:rPr/>
              <w:t>1,329,433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04"/>
        <w:gridCol w:w="357"/>
        <w:gridCol w:w="141"/>
        <w:gridCol w:w="1048"/>
        <w:gridCol w:w="60"/>
        <w:gridCol w:w="357"/>
        <w:gridCol w:w="141"/>
        <w:gridCol w:w="882"/>
        <w:gridCol w:w="65"/>
      </w:tblGrid>
      <w:tr>
        <w:trPr/>
        <w:tc>
          <w:tcPr>
            <w:tcW w:w="4704"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704"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2629" w:type="dxa"/>
            <w:gridSpan w:val="6"/>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Three Months Ended</w:t>
              <w:br/>
              <w:t>March 31,</w:t>
            </w:r>
          </w:p>
        </w:tc>
        <w:tc>
          <w:tcPr>
            <w:tcW w:w="65" w:type="dxa"/>
            <w:tcBorders/>
            <w:vAlign w:val="bottom"/>
          </w:tcPr>
          <w:p>
            <w:pPr>
              <w:pStyle w:val="TableContents"/>
              <w:bidi w:val="0"/>
              <w:spacing w:before="0" w:after="283"/>
              <w:jc w:val="left"/>
              <w:rPr/>
            </w:pPr>
            <w:r>
              <w:rPr/>
              <w:t> </w:t>
            </w:r>
          </w:p>
        </w:tc>
      </w:tr>
      <w:tr>
        <w:trPr/>
        <w:tc>
          <w:tcPr>
            <w:tcW w:w="4704"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4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costs</w:t>
            </w:r>
          </w:p>
        </w:tc>
        <w:tc>
          <w:tcPr>
            <w:tcW w:w="3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966,218</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121,696</w:t>
            </w:r>
          </w:p>
        </w:tc>
        <w:tc>
          <w:tcPr>
            <w:tcW w:w="65" w:type="dxa"/>
            <w:tcBorders/>
            <w:shd w:fill="CCEEFF" w:val="clear"/>
            <w:vAlign w:val="bottom"/>
          </w:tcPr>
          <w:p>
            <w:pPr>
              <w:pStyle w:val="TableContents"/>
              <w:bidi w:val="0"/>
              <w:spacing w:before="0" w:after="283"/>
              <w:jc w:val="left"/>
              <w:rPr/>
            </w:pPr>
            <w:r>
              <w:rPr/>
              <w:t> </w:t>
            </w:r>
          </w:p>
        </w:tc>
      </w:tr>
      <w:tr>
        <w:trPr/>
        <w:tc>
          <w:tcPr>
            <w:tcW w:w="4704" w:type="dxa"/>
            <w:tcBorders/>
          </w:tcPr>
          <w:p>
            <w:pPr>
              <w:pStyle w:val="TableContents"/>
              <w:bidi w:val="0"/>
              <w:spacing w:before="0" w:after="0"/>
              <w:jc w:val="left"/>
              <w:rPr>
                <w:rFonts w:ascii="Times New Roman" w:hAnsi="Times New Roman"/>
                <w:sz w:val="20"/>
              </w:rPr>
            </w:pPr>
            <w:r>
              <w:rPr>
                <w:rFonts w:ascii="Times New Roman" w:hAnsi="Times New Roman"/>
                <w:sz w:val="20"/>
              </w:rPr>
              <w:t>Interest earned on marketable securities held in Trust Account</w:t>
            </w:r>
          </w:p>
        </w:tc>
        <w:tc>
          <w:tcPr>
            <w:tcW w:w="3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t>2,101,884</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717,933</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CODM reviews interest earned on marketable securities held in Trust Account to measure and monitor shareholder value and determine the most effective strategy of investment with the Trust Account funds while maintaining compliance with the Investment Management Trust Agreement, dated February 27, 2025 which the Company entered into with Continental, as trustee of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costs are reviewed and monitored by the CODM to manage and forecast cash to ensure enough capital is available to complete a Business Combination or similar transaction within the Combination Period. The CODM also reviews general and administrative costs to manage, maintain and enforce all contractual agreements to ensure costs are aligned with all agreements and budget. General and administrative costs, as reported on the accompanying unaudited condensed consolidated statements of operations, are the significant segment expenses provided to the CODM on a regular basis. </w:t>
      </w:r>
    </w:p>
    <w:p>
      <w:pPr>
        <w:pStyle w:val="TextBody"/>
        <w:bidi w:val="0"/>
        <w:spacing w:before="240" w:after="0"/>
        <w:jc w:val="left"/>
        <w:rPr>
          <w:rFonts w:ascii="Times New Roman" w:hAnsi="Times New Roman"/>
          <w:sz w:val="20"/>
        </w:rPr>
      </w:pPr>
      <w:r>
        <w:rPr>
          <w:rFonts w:ascii="Times New Roman" w:hAnsi="Times New Roman"/>
          <w:sz w:val="20"/>
        </w:rPr>
        <w:t xml:space="preserve">All other segment items included in net loss are reported on the accompanying unaudited condensed consolidated statements of operations and described within their respective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NOTE 10. SUBSEQUENT EVENTS</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accompanying condensed consolidated balance sheet date up to the date that the accompanying unaudited condensed consolidated financial statements were issued. Based upon this review, other than as set forth below, the Company did not identify any subsequent events that would have required adjustment or disclosure in the accompanying unaudited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On April 1, 2026, the Company and Teamshares entered into a First Amendment to the Merger Agreement to update certain transaction mechanics related to equity structure, employee incentive arrangements, and closing conditions. The amendment primarily clarifies and revises terms related to share calculations, option treatment, and post-closing equity plans, and does not materially change the overall structure or economics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April 1, 2026, the Company, the Sponsor, Teamshares, and the directors and officers of the Company entered into a Second Amendment to the Letter Agreement, which provides for the release of transfer restrictions on up to 1,150,000 Incentive Founder Shares (as defined therein) upon Closing, contingent upon their use in connection with certain interim financing arrangements or agreements to support non-redemption commitments by public shareholders. </w:t>
      </w:r>
    </w:p>
    <w:p>
      <w:pPr>
        <w:pStyle w:val="TextBody"/>
        <w:bidi w:val="0"/>
        <w:spacing w:before="240" w:after="0"/>
        <w:jc w:val="left"/>
        <w:rPr>
          <w:rFonts w:ascii="Times New Roman" w:hAnsi="Times New Roman"/>
          <w:sz w:val="20"/>
        </w:rPr>
      </w:pPr>
      <w:r>
        <w:rPr>
          <w:rFonts w:ascii="Times New Roman" w:hAnsi="Times New Roman"/>
          <w:sz w:val="20"/>
        </w:rPr>
        <w:t xml:space="preserve">On May 1, 2026, we entered into a letter agreement with Teamshare pursuant to which the parties determined to extend the date by which either party may terminate the Merger Agreement, upon written notice to the other, in the event the proposed Business Combination has not been consummated from May 31, 2026 to July 15, 2026, to provide the parties with additional time to consummate the proposed Business Combination, upon satisfaction (or, to the extent applicable, waiver) of the conditions to closing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May 13, 2026, we entered into a Second Amendment to the Merger Agreement with Teamshares to clarify certain provisions relating to the Liquidation Preference Elections (as defined in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fin58823_11"/>
      <w:bookmarkEnd w:id="33"/>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and the Board of Directors of </w:t>
      </w:r>
    </w:p>
    <w:p>
      <w:pPr>
        <w:pStyle w:val="TextBody"/>
        <w:bidi w:val="0"/>
        <w:spacing w:before="0" w:after="0"/>
        <w:jc w:val="left"/>
        <w:rPr>
          <w:rFonts w:ascii="Times New Roman" w:hAnsi="Times New Roman"/>
          <w:sz w:val="20"/>
        </w:rPr>
      </w:pPr>
      <w:r>
        <w:rPr>
          <w:rFonts w:ascii="Times New Roman" w:hAnsi="Times New Roman"/>
          <w:sz w:val="20"/>
        </w:rPr>
        <w:t xml:space="preserve">Live Oak Acquisition Corp. V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Live Oak Acquisition Corp. V (the “Company”) as of December 31, 2025 and 2024, the related consolidated statements of operations, changes in shareholders’ equity (deficit) and cash flows for the year ended December 31, 2025, and for the period from November 27, 2024 (inception) through December 31, 2024,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 ended December 31, 2025 and for the period from November 27, 2024 (inception) through December 31, 2024, in conformity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Substantial Doubt Regarding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assuming that the Company will continue as a going concern. As discussed in Note 1 to the consolidated financial statements, if the Company is unable to complete a business combination by March 3, 2027, then the Company will cease all operations except for the purpose of liquidating. The date for mandatory liquidation and subsequent dissolution raises substantial doubt about the Company’s ability to continue as a going concern. Management’s plans in regard to these matters are also described in Note 1. The consolidated financial statements do not include any adjustments that might result from the outcome of this uncertainty.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provides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WithumSmith+Brown, PC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2024. </w:t>
      </w:r>
    </w:p>
    <w:p>
      <w:pPr>
        <w:pStyle w:val="TextBody"/>
        <w:bidi w:val="0"/>
        <w:spacing w:before="240" w:after="0"/>
        <w:jc w:val="left"/>
        <w:rPr>
          <w:rFonts w:ascii="Times New Roman" w:hAnsi="Times New Roman"/>
          <w:sz w:val="20"/>
        </w:rPr>
      </w:pPr>
      <w:r>
        <w:rPr>
          <w:rFonts w:ascii="Times New Roman" w:hAnsi="Times New Roman"/>
          <w:sz w:val="20"/>
        </w:rPr>
        <w:t xml:space="preserve">New York, New York </w:t>
      </w:r>
    </w:p>
    <w:p>
      <w:pPr>
        <w:pStyle w:val="TextBody"/>
        <w:bidi w:val="0"/>
        <w:spacing w:before="0" w:after="0"/>
        <w:jc w:val="left"/>
        <w:rPr>
          <w:rFonts w:ascii="Times New Roman" w:hAnsi="Times New Roman"/>
          <w:sz w:val="20"/>
        </w:rPr>
      </w:pPr>
      <w:r>
        <w:rPr>
          <w:rFonts w:ascii="Times New Roman" w:hAnsi="Times New Roman"/>
          <w:sz w:val="20"/>
        </w:rPr>
        <w:t xml:space="preserve">March 30, 2026 </w:t>
      </w:r>
    </w:p>
    <w:p>
      <w:pPr>
        <w:pStyle w:val="TextBody"/>
        <w:bidi w:val="0"/>
        <w:spacing w:before="0" w:after="0"/>
        <w:jc w:val="left"/>
        <w:rPr>
          <w:rFonts w:ascii="Times New Roman" w:hAnsi="Times New Roman"/>
          <w:sz w:val="20"/>
        </w:rPr>
      </w:pPr>
      <w:r>
        <w:rPr>
          <w:rFonts w:ascii="Times New Roman" w:hAnsi="Times New Roman"/>
          <w:sz w:val="20"/>
        </w:rPr>
        <w:t xml:space="preserve">PCAOB ID Number 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bookmarkStart w:id="34" w:name="fin58823_12"/>
      <w:bookmarkEnd w:id="34"/>
      <w:r>
        <w:rPr>
          <w:rFonts w:ascii="Times New Roman" w:hAnsi="Times New Roman"/>
          <w:b/>
          <w:sz w:val="20"/>
        </w:rPr>
        <w:t xml:space="preserve">CONSOLIDATED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08"/>
        <w:gridCol w:w="357"/>
        <w:gridCol w:w="145"/>
        <w:gridCol w:w="1298"/>
        <w:gridCol w:w="155"/>
        <w:gridCol w:w="315"/>
        <w:gridCol w:w="222"/>
        <w:gridCol w:w="1245"/>
        <w:gridCol w:w="160"/>
      </w:tblGrid>
      <w:tr>
        <w:trPr/>
        <w:tc>
          <w:tcPr>
            <w:tcW w:w="6308"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08"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60"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1,329,433</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from Sponsor</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713</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86,667</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8,502</w:t>
            </w:r>
          </w:p>
        </w:tc>
        <w:tc>
          <w:tcPr>
            <w:tcW w:w="160"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59,044</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1,416,813</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67,546</w:t>
            </w:r>
          </w:p>
        </w:tc>
        <w:tc>
          <w:tcPr>
            <w:tcW w:w="160"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prepaid insurance</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14,167</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239,042,295</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98" w:type="dxa"/>
            <w:tcBorders/>
            <w:shd w:fill="CCEEFF" w:val="clear"/>
            <w:vAlign w:val="bottom"/>
          </w:tcPr>
          <w:p>
            <w:pPr>
              <w:pStyle w:val="TableContents"/>
              <w:bidi w:val="0"/>
              <w:spacing w:before="0" w:after="283"/>
              <w:jc w:val="right"/>
              <w:rPr>
                <w:b/>
              </w:rPr>
            </w:pPr>
            <w:r>
              <w:rPr>
                <w:b/>
              </w:rPr>
              <w:t>240,473,275</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b/>
              </w:rPr>
            </w:pPr>
            <w:r>
              <w:rPr>
                <w:b/>
              </w:rPr>
              <w:t>$</w:t>
            </w:r>
          </w:p>
        </w:tc>
        <w:tc>
          <w:tcPr>
            <w:tcW w:w="1245" w:type="dxa"/>
            <w:tcBorders/>
            <w:shd w:fill="CCEEFF" w:val="clear"/>
            <w:vAlign w:val="bottom"/>
          </w:tcPr>
          <w:p>
            <w:pPr>
              <w:pStyle w:val="TableContents"/>
              <w:bidi w:val="0"/>
              <w:spacing w:before="0" w:after="283"/>
              <w:jc w:val="right"/>
              <w:rPr>
                <w:b/>
              </w:rPr>
            </w:pPr>
            <w:r>
              <w:rPr>
                <w:b/>
              </w:rPr>
              <w:t>67,546</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CLASS A ORDINARY SHARES SUBJECT TO POSSIBLE REDEMPTION, AND SHAREHOLDERS’ (DEFICIT) EQUITY</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1,036,287</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2,750</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Accrued offering costs</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75,000</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IPO Promissory Note - related party</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58,367</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1,111,287</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61,117</w:t>
            </w:r>
          </w:p>
        </w:tc>
        <w:tc>
          <w:tcPr>
            <w:tcW w:w="160"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PIPE Subscription Agreements liability</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15,274,088</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Deferred Advisory Fee</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6,900,000</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underwriting fee</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6,900,000</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b/>
              </w:rPr>
            </w:pPr>
            <w:r>
              <w:rPr>
                <w:b/>
              </w:rPr>
              <w:t>30,185,375</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b/>
              </w:rPr>
            </w:pPr>
            <w:r>
              <w:rPr>
                <w:b/>
              </w:rPr>
              <w:t>61,117</w:t>
            </w:r>
          </w:p>
        </w:tc>
        <w:tc>
          <w:tcPr>
            <w:tcW w:w="160" w:type="dxa"/>
            <w:tcBorders/>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6)</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 23,000,000 and no shares at redemption value of $10.39 and $0 per share as of December 31, 2025 and 2024, respectively</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239,042,295</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SHAREHOLDERS’ EQUITY (DEFICIT)</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Preference shares, $0.0001 par value; 5,000,000 shares authorized; none issued and outstanding as of December 31, 2025 and 2024</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$0.0001 par value; 500,000,000 shares authorized; none issued and outstanding (excluding 23,000,000 shares and no shares subject to possible redemption) as of December 31, 2025 and 2024, respectively</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Class B Ordinary Shares, $0.0001 par value; 50,000,000 shares authorized; 5,750,000 shares issued and outstanding as of December 31, 2025 and 2024</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575</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575</w:t>
            </w:r>
          </w:p>
        </w:tc>
        <w:tc>
          <w:tcPr>
            <w:tcW w:w="160" w:type="dxa"/>
            <w:tcBorders/>
            <w:vAlign w:val="bottom"/>
          </w:tcPr>
          <w:p>
            <w:pPr>
              <w:pStyle w:val="TableContents"/>
              <w:bidi w:val="0"/>
              <w:spacing w:before="0" w:after="283"/>
              <w:jc w:val="left"/>
              <w:rPr/>
            </w:pPr>
            <w:r>
              <w:rPr/>
              <w:t> </w:t>
            </w:r>
          </w:p>
        </w:tc>
      </w:tr>
      <w:tr>
        <w:trPr/>
        <w:tc>
          <w:tcPr>
            <w:tcW w:w="6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24,425</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(28,754,970</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(18,571</w:t>
            </w:r>
          </w:p>
        </w:tc>
        <w:tc>
          <w:tcPr>
            <w:tcW w:w="160" w:type="dxa"/>
            <w:tcBorders/>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SHAREHOLDERS’ EQUITY (DEFICIT)</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b/>
              </w:rPr>
            </w:pPr>
            <w:r>
              <w:rPr>
                <w:b/>
              </w:rPr>
              <w:t>(28,754,395</w:t>
            </w:r>
          </w:p>
        </w:tc>
        <w:tc>
          <w:tcPr>
            <w:tcW w:w="155" w:type="dxa"/>
            <w:tcBorders/>
            <w:shd w:fill="CCEEFF" w:val="clear"/>
            <w:vAlign w:val="bottom"/>
          </w:tcPr>
          <w:p>
            <w:pPr>
              <w:pStyle w:val="TableContents"/>
              <w:bidi w:val="0"/>
              <w:spacing w:before="0" w:after="283"/>
              <w:jc w:val="left"/>
              <w:rPr>
                <w:b/>
              </w:rPr>
            </w:pPr>
            <w:r>
              <w:rPr>
                <w:b/>
              </w:rPr>
              <w:t>) </w:t>
            </w:r>
          </w:p>
        </w:tc>
        <w:tc>
          <w:tcPr>
            <w:tcW w:w="31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b/>
              </w:rPr>
            </w:pPr>
            <w:r>
              <w:rPr>
                <w:b/>
              </w:rPr>
              <w:t>6,429</w:t>
            </w:r>
          </w:p>
        </w:tc>
        <w:tc>
          <w:tcPr>
            <w:tcW w:w="160" w:type="dxa"/>
            <w:tcBorders/>
            <w:shd w:fill="CCEEFF" w:val="clear"/>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CLASS A ORDINARY SHARES SUBJECT TO POSSIBLE REDEMPTION, AND SHAREHOLDERS’ EQUITY (DEFICIT)</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98" w:type="dxa"/>
            <w:tcBorders/>
            <w:vAlign w:val="bottom"/>
          </w:tcPr>
          <w:p>
            <w:pPr>
              <w:pStyle w:val="TableContents"/>
              <w:bidi w:val="0"/>
              <w:spacing w:before="0" w:after="283"/>
              <w:jc w:val="right"/>
              <w:rPr>
                <w:b/>
              </w:rPr>
            </w:pPr>
            <w:r>
              <w:rPr>
                <w:b/>
              </w:rPr>
              <w:t>240,473,275</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b/>
              </w:rPr>
            </w:pPr>
            <w:r>
              <w:rPr>
                <w:b/>
              </w:rPr>
              <w:t>$</w:t>
            </w:r>
          </w:p>
        </w:tc>
        <w:tc>
          <w:tcPr>
            <w:tcW w:w="1245" w:type="dxa"/>
            <w:tcBorders/>
            <w:vAlign w:val="bottom"/>
          </w:tcPr>
          <w:p>
            <w:pPr>
              <w:pStyle w:val="TableContents"/>
              <w:bidi w:val="0"/>
              <w:spacing w:before="0" w:after="283"/>
              <w:jc w:val="right"/>
              <w:rPr>
                <w:b/>
              </w:rPr>
            </w:pPr>
            <w:r>
              <w:rPr>
                <w:b/>
              </w:rPr>
              <w:t>67,546</w:t>
            </w:r>
          </w:p>
        </w:tc>
        <w:tc>
          <w:tcPr>
            <w:tcW w:w="160" w:type="dxa"/>
            <w:tcBorders/>
            <w:vAlign w:val="bottom"/>
          </w:tcPr>
          <w:p>
            <w:pPr>
              <w:pStyle w:val="TableContents"/>
              <w:bidi w:val="0"/>
              <w:spacing w:before="0" w:after="283"/>
              <w:jc w:val="left"/>
              <w:rPr/>
            </w:pPr>
            <w:r>
              <w:rPr/>
              <w:t> </w:t>
            </w:r>
          </w:p>
        </w:tc>
      </w:tr>
      <w:tr>
        <w:trPr/>
        <w:tc>
          <w:tcPr>
            <w:tcW w:w="6308"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bookmarkStart w:id="35" w:name="fin58823_13"/>
      <w:bookmarkEnd w:id="35"/>
      <w:r>
        <w:rPr>
          <w:rFonts w:ascii="Times New Roman" w:hAnsi="Times New Roman"/>
          <w:b/>
          <w:sz w:val="20"/>
        </w:rPr>
        <w:t xml:space="preserve">CONSOLIDATED STATEMENTS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68"/>
        <w:gridCol w:w="297"/>
        <w:gridCol w:w="150"/>
        <w:gridCol w:w="1267"/>
        <w:gridCol w:w="155"/>
        <w:gridCol w:w="262"/>
        <w:gridCol w:w="180"/>
        <w:gridCol w:w="1267"/>
        <w:gridCol w:w="159"/>
      </w:tblGrid>
      <w:tr>
        <w:trPr/>
        <w:tc>
          <w:tcPr>
            <w:tcW w:w="6468"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68"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w:t>
              <w:br/>
              <w:t>Year Ended</w:t>
              <w:br/>
              <w:t>December 31,</w:t>
              <w:br/>
              <w:t>2025</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w:t>
              <w:br/>
              <w:t>Period from</w:t>
              <w:br/>
              <w:t>November 27,</w:t>
              <w:br/>
              <w:t>2024</w:t>
              <w:br/>
              <w:t>(Inception)</w:t>
              <w:br/>
              <w:t>Through</w:t>
              <w:br/>
              <w:t>December 31,</w:t>
              <w:br/>
              <w:t>2024</w:t>
            </w:r>
          </w:p>
        </w:tc>
        <w:tc>
          <w:tcPr>
            <w:tcW w:w="159" w:type="dxa"/>
            <w:tcBorders/>
            <w:vAlign w:val="bottom"/>
          </w:tcPr>
          <w:p>
            <w:pPr>
              <w:pStyle w:val="TableContents"/>
              <w:bidi w:val="0"/>
              <w:spacing w:before="0" w:after="283"/>
              <w:jc w:val="left"/>
              <w:rPr/>
            </w:pPr>
            <w:r>
              <w:rPr/>
              <w:t> </w:t>
            </w:r>
          </w:p>
        </w:tc>
      </w:tr>
      <w:tr>
        <w:trPr/>
        <w:tc>
          <w:tcPr>
            <w:tcW w:w="64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costs</w:t>
            </w:r>
          </w:p>
        </w:tc>
        <w:tc>
          <w:tcPr>
            <w:tcW w:w="29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267" w:type="dxa"/>
            <w:tcBorders/>
            <w:shd w:fill="CCEEFF" w:val="clear"/>
            <w:vAlign w:val="bottom"/>
          </w:tcPr>
          <w:p>
            <w:pPr>
              <w:pStyle w:val="TableContents"/>
              <w:bidi w:val="0"/>
              <w:spacing w:before="0" w:after="283"/>
              <w:jc w:val="right"/>
              <w:rPr/>
            </w:pPr>
            <w:r>
              <w:rPr/>
              <w:t>2,213,588</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267" w:type="dxa"/>
            <w:tcBorders/>
            <w:shd w:fill="CCEEFF" w:val="clear"/>
            <w:vAlign w:val="bottom"/>
          </w:tcPr>
          <w:p>
            <w:pPr>
              <w:pStyle w:val="TableContents"/>
              <w:bidi w:val="0"/>
              <w:spacing w:before="0" w:after="283"/>
              <w:jc w:val="right"/>
              <w:rPr/>
            </w:pPr>
            <w:r>
              <w:rPr/>
              <w:t>18,571</w:t>
            </w:r>
          </w:p>
        </w:tc>
        <w:tc>
          <w:tcPr>
            <w:tcW w:w="159" w:type="dxa"/>
            <w:tcBorders/>
            <w:shd w:fill="CCEEFF" w:val="clear"/>
            <w:vAlign w:val="bottom"/>
          </w:tcPr>
          <w:p>
            <w:pPr>
              <w:pStyle w:val="TableContents"/>
              <w:bidi w:val="0"/>
              <w:spacing w:before="0" w:after="283"/>
              <w:jc w:val="left"/>
              <w:rPr/>
            </w:pPr>
            <w:r>
              <w:rPr/>
              <w:t> </w:t>
            </w:r>
          </w:p>
        </w:tc>
      </w:tr>
      <w:tr>
        <w:trPr/>
        <w:tc>
          <w:tcPr>
            <w:tcW w:w="6468" w:type="dxa"/>
            <w:tcBorders/>
          </w:tcPr>
          <w:p>
            <w:pPr>
              <w:pStyle w:val="TableContents"/>
              <w:bidi w:val="0"/>
              <w:spacing w:before="0" w:after="0"/>
              <w:jc w:val="left"/>
              <w:rPr>
                <w:rFonts w:ascii="Times New Roman" w:hAnsi="Times New Roman"/>
                <w:sz w:val="20"/>
              </w:rPr>
            </w:pPr>
            <w:r>
              <w:rPr>
                <w:rFonts w:ascii="Times New Roman" w:hAnsi="Times New Roman"/>
                <w:sz w:val="20"/>
              </w:rPr>
              <w:t>Advisory Fee</w:t>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6,900,000</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29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b/>
              </w:rPr>
            </w:pPr>
            <w:r>
              <w:rPr>
                <w:b/>
              </w:rPr>
              <w:t>(9,113,588</w:t>
            </w:r>
          </w:p>
        </w:tc>
        <w:tc>
          <w:tcPr>
            <w:tcW w:w="155" w:type="dxa"/>
            <w:tcBorders/>
            <w:shd w:fill="CCEEFF" w:val="clear"/>
            <w:vAlign w:val="bottom"/>
          </w:tcPr>
          <w:p>
            <w:pPr>
              <w:pStyle w:val="TableContents"/>
              <w:bidi w:val="0"/>
              <w:spacing w:before="0" w:after="283"/>
              <w:jc w:val="left"/>
              <w:rPr>
                <w:b/>
              </w:rPr>
            </w:pPr>
            <w:r>
              <w:rPr>
                <w:b/>
              </w:rPr>
              <w:t>) </w:t>
            </w:r>
          </w:p>
        </w:tc>
        <w:tc>
          <w:tcPr>
            <w:tcW w:w="26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b/>
              </w:rPr>
            </w:pPr>
            <w:r>
              <w:rPr>
                <w:b/>
              </w:rPr>
              <w:t>(18,571</w:t>
            </w:r>
          </w:p>
        </w:tc>
        <w:tc>
          <w:tcPr>
            <w:tcW w:w="159" w:type="dxa"/>
            <w:tcBorders/>
            <w:shd w:fill="CCEEFF" w:val="clear"/>
            <w:vAlign w:val="bottom"/>
          </w:tcPr>
          <w:p>
            <w:pPr>
              <w:pStyle w:val="TableContents"/>
              <w:bidi w:val="0"/>
              <w:spacing w:before="0" w:after="283"/>
              <w:jc w:val="left"/>
              <w:rPr>
                <w:b/>
              </w:rPr>
            </w:pPr>
            <w:r>
              <w:rPr>
                <w:b/>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INCOME</w:t>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2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26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4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loss on PIPE Subscription Agreements liability</w:t>
            </w:r>
          </w:p>
        </w:tc>
        <w:tc>
          <w:tcPr>
            <w:tcW w:w="29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(15,582,052</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468"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PIPE Subscription Agreements liability</w:t>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307,964</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4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earned on marketable securities held in Trust Account</w:t>
            </w:r>
          </w:p>
        </w:tc>
        <w:tc>
          <w:tcPr>
            <w:tcW w:w="29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7,892,295</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other income</w:t>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b/>
              </w:rPr>
            </w:pPr>
            <w:r>
              <w:rPr>
                <w:b/>
              </w:rPr>
              <w:t>(7,381,793</w:t>
            </w:r>
          </w:p>
        </w:tc>
        <w:tc>
          <w:tcPr>
            <w:tcW w:w="155" w:type="dxa"/>
            <w:tcBorders/>
            <w:vAlign w:val="bottom"/>
          </w:tcPr>
          <w:p>
            <w:pPr>
              <w:pStyle w:val="TableContents"/>
              <w:bidi w:val="0"/>
              <w:spacing w:before="0" w:after="283"/>
              <w:jc w:val="left"/>
              <w:rPr>
                <w:b/>
              </w:rPr>
            </w:pPr>
            <w:r>
              <w:rPr>
                <w:b/>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29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1267" w:type="dxa"/>
            <w:tcBorders/>
            <w:shd w:fill="CCEEFF" w:val="clear"/>
            <w:vAlign w:val="bottom"/>
          </w:tcPr>
          <w:p>
            <w:pPr>
              <w:pStyle w:val="TableContents"/>
              <w:bidi w:val="0"/>
              <w:spacing w:before="0" w:after="283"/>
              <w:jc w:val="right"/>
              <w:rPr>
                <w:b/>
              </w:rPr>
            </w:pPr>
            <w:r>
              <w:rPr>
                <w:b/>
              </w:rPr>
              <w:t>(16,495,381</w:t>
            </w:r>
          </w:p>
        </w:tc>
        <w:tc>
          <w:tcPr>
            <w:tcW w:w="155" w:type="dxa"/>
            <w:tcBorders/>
            <w:shd w:fill="CCEEFF" w:val="clear"/>
            <w:vAlign w:val="bottom"/>
          </w:tcPr>
          <w:p>
            <w:pPr>
              <w:pStyle w:val="TableContents"/>
              <w:bidi w:val="0"/>
              <w:spacing w:before="0" w:after="283"/>
              <w:jc w:val="left"/>
              <w:rPr>
                <w:b/>
              </w:rPr>
            </w:pPr>
            <w:r>
              <w:rPr>
                <w:b/>
              </w:rPr>
              <w:t>) </w:t>
            </w:r>
          </w:p>
        </w:tc>
        <w:tc>
          <w:tcPr>
            <w:tcW w:w="26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b/>
              </w:rPr>
            </w:pPr>
            <w:r>
              <w:rPr>
                <w:b/>
              </w:rPr>
              <w:t>$</w:t>
            </w:r>
          </w:p>
        </w:tc>
        <w:tc>
          <w:tcPr>
            <w:tcW w:w="1267" w:type="dxa"/>
            <w:tcBorders/>
            <w:shd w:fill="CCEEFF" w:val="clear"/>
            <w:vAlign w:val="bottom"/>
          </w:tcPr>
          <w:p>
            <w:pPr>
              <w:pStyle w:val="TableContents"/>
              <w:bidi w:val="0"/>
              <w:spacing w:before="0" w:after="283"/>
              <w:jc w:val="right"/>
              <w:rPr>
                <w:b/>
              </w:rPr>
            </w:pPr>
            <w:r>
              <w:rPr>
                <w:b/>
              </w:rPr>
              <w:t>(18,571</w:t>
            </w:r>
          </w:p>
        </w:tc>
        <w:tc>
          <w:tcPr>
            <w:tcW w:w="159" w:type="dxa"/>
            <w:tcBorders/>
            <w:shd w:fill="CCEEFF" w:val="clear"/>
            <w:vAlign w:val="bottom"/>
          </w:tcPr>
          <w:p>
            <w:pPr>
              <w:pStyle w:val="TableContents"/>
              <w:bidi w:val="0"/>
              <w:spacing w:before="0" w:after="283"/>
              <w:jc w:val="left"/>
              <w:rPr>
                <w:b/>
              </w:rPr>
            </w:pPr>
            <w:r>
              <w:rPr>
                <w:b/>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Class A Ordinary Shares</w:t>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19,156,164</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Basic net loss per Ordinary Share, Class A Ordinary Shares</w:t>
            </w:r>
          </w:p>
        </w:tc>
        <w:tc>
          <w:tcPr>
            <w:tcW w:w="29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1267" w:type="dxa"/>
            <w:tcBorders/>
            <w:shd w:fill="CCEEFF" w:val="clear"/>
            <w:vAlign w:val="bottom"/>
          </w:tcPr>
          <w:p>
            <w:pPr>
              <w:pStyle w:val="TableContents"/>
              <w:bidi w:val="0"/>
              <w:spacing w:before="0" w:after="283"/>
              <w:jc w:val="right"/>
              <w:rPr>
                <w:b/>
              </w:rPr>
            </w:pPr>
            <w:r>
              <w:rPr>
                <w:b/>
              </w:rPr>
              <w:t>(0.67</w:t>
            </w:r>
          </w:p>
        </w:tc>
        <w:tc>
          <w:tcPr>
            <w:tcW w:w="155" w:type="dxa"/>
            <w:tcBorders/>
            <w:shd w:fill="CCEEFF" w:val="clear"/>
            <w:vAlign w:val="bottom"/>
          </w:tcPr>
          <w:p>
            <w:pPr>
              <w:pStyle w:val="TableContents"/>
              <w:bidi w:val="0"/>
              <w:spacing w:before="0" w:after="283"/>
              <w:jc w:val="left"/>
              <w:rPr>
                <w:b/>
              </w:rPr>
            </w:pPr>
            <w:r>
              <w:rPr>
                <w:b/>
              </w:rPr>
              <w:t>) </w:t>
            </w:r>
          </w:p>
        </w:tc>
        <w:tc>
          <w:tcPr>
            <w:tcW w:w="26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b/>
              </w:rPr>
            </w:pPr>
            <w:r>
              <w:rPr>
                <w:b/>
              </w:rPr>
              <w:t>$</w:t>
            </w:r>
          </w:p>
        </w:tc>
        <w:tc>
          <w:tcPr>
            <w:tcW w:w="126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Class A Ordinary Shares</w:t>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19,156,164</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net loss per Ordinary Share, Class A Ordinary Shares</w:t>
            </w:r>
          </w:p>
        </w:tc>
        <w:tc>
          <w:tcPr>
            <w:tcW w:w="29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1267" w:type="dxa"/>
            <w:tcBorders/>
            <w:shd w:fill="CCEEFF" w:val="clear"/>
            <w:vAlign w:val="bottom"/>
          </w:tcPr>
          <w:p>
            <w:pPr>
              <w:pStyle w:val="TableContents"/>
              <w:bidi w:val="0"/>
              <w:spacing w:before="0" w:after="283"/>
              <w:jc w:val="right"/>
              <w:rPr>
                <w:b/>
              </w:rPr>
            </w:pPr>
            <w:r>
              <w:rPr>
                <w:b/>
              </w:rPr>
              <w:t>(0.66</w:t>
            </w:r>
          </w:p>
        </w:tc>
        <w:tc>
          <w:tcPr>
            <w:tcW w:w="155" w:type="dxa"/>
            <w:tcBorders/>
            <w:shd w:fill="CCEEFF" w:val="clear"/>
            <w:vAlign w:val="bottom"/>
          </w:tcPr>
          <w:p>
            <w:pPr>
              <w:pStyle w:val="TableContents"/>
              <w:bidi w:val="0"/>
              <w:spacing w:before="0" w:after="283"/>
              <w:jc w:val="left"/>
              <w:rPr>
                <w:b/>
              </w:rPr>
            </w:pPr>
            <w:r>
              <w:rPr>
                <w:b/>
              </w:rPr>
              <w:t>) </w:t>
            </w:r>
          </w:p>
        </w:tc>
        <w:tc>
          <w:tcPr>
            <w:tcW w:w="26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b/>
              </w:rPr>
            </w:pPr>
            <w:r>
              <w:rPr>
                <w:b/>
              </w:rPr>
              <w:t>$</w:t>
            </w:r>
          </w:p>
        </w:tc>
        <w:tc>
          <w:tcPr>
            <w:tcW w:w="126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Class B Ordinary Shares</w:t>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5,624,658</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5,000,000</w:t>
            </w:r>
          </w:p>
        </w:tc>
        <w:tc>
          <w:tcPr>
            <w:tcW w:w="159" w:type="dxa"/>
            <w:tcBorders/>
            <w:vAlign w:val="bottom"/>
          </w:tcPr>
          <w:p>
            <w:pPr>
              <w:pStyle w:val="TableContents"/>
              <w:bidi w:val="0"/>
              <w:spacing w:before="0" w:after="283"/>
              <w:jc w:val="left"/>
              <w:rPr/>
            </w:pPr>
            <w:r>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Basic net loss per Ordinary Share, Class B Ordinary Shares</w:t>
            </w:r>
          </w:p>
        </w:tc>
        <w:tc>
          <w:tcPr>
            <w:tcW w:w="29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1267" w:type="dxa"/>
            <w:tcBorders/>
            <w:shd w:fill="CCEEFF" w:val="clear"/>
            <w:vAlign w:val="bottom"/>
          </w:tcPr>
          <w:p>
            <w:pPr>
              <w:pStyle w:val="TableContents"/>
              <w:bidi w:val="0"/>
              <w:spacing w:before="0" w:after="283"/>
              <w:jc w:val="right"/>
              <w:rPr>
                <w:b/>
              </w:rPr>
            </w:pPr>
            <w:r>
              <w:rPr>
                <w:b/>
              </w:rPr>
              <w:t>(0.67</w:t>
            </w:r>
          </w:p>
        </w:tc>
        <w:tc>
          <w:tcPr>
            <w:tcW w:w="155" w:type="dxa"/>
            <w:tcBorders/>
            <w:shd w:fill="CCEEFF" w:val="clear"/>
            <w:vAlign w:val="bottom"/>
          </w:tcPr>
          <w:p>
            <w:pPr>
              <w:pStyle w:val="TableContents"/>
              <w:bidi w:val="0"/>
              <w:spacing w:before="0" w:after="283"/>
              <w:jc w:val="left"/>
              <w:rPr>
                <w:b/>
              </w:rPr>
            </w:pPr>
            <w:r>
              <w:rPr>
                <w:b/>
              </w:rPr>
              <w:t>) </w:t>
            </w:r>
          </w:p>
        </w:tc>
        <w:tc>
          <w:tcPr>
            <w:tcW w:w="26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b/>
              </w:rPr>
            </w:pPr>
            <w:r>
              <w:rPr>
                <w:b/>
              </w:rPr>
              <w:t>$</w:t>
            </w:r>
          </w:p>
        </w:tc>
        <w:tc>
          <w:tcPr>
            <w:tcW w:w="1267" w:type="dxa"/>
            <w:tcBorders/>
            <w:shd w:fill="CCEEFF" w:val="clear"/>
            <w:vAlign w:val="bottom"/>
          </w:tcPr>
          <w:p>
            <w:pPr>
              <w:pStyle w:val="TableContents"/>
              <w:bidi w:val="0"/>
              <w:spacing w:before="0" w:after="283"/>
              <w:jc w:val="right"/>
              <w:rPr>
                <w:b/>
              </w:rPr>
            </w:pPr>
            <w:r>
              <w:rPr>
                <w:b/>
              </w:rPr>
              <w:t>(0.00</w:t>
            </w:r>
          </w:p>
        </w:tc>
        <w:tc>
          <w:tcPr>
            <w:tcW w:w="159" w:type="dxa"/>
            <w:tcBorders/>
            <w:shd w:fill="CCEEFF" w:val="clear"/>
            <w:vAlign w:val="bottom"/>
          </w:tcPr>
          <w:p>
            <w:pPr>
              <w:pStyle w:val="TableContents"/>
              <w:bidi w:val="0"/>
              <w:spacing w:before="0" w:after="283"/>
              <w:jc w:val="left"/>
              <w:rPr>
                <w:b/>
              </w:rPr>
            </w:pPr>
            <w:r>
              <w:rPr>
                <w:b/>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Class B Ordinary Shares</w:t>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5,750,000</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5,000,000</w:t>
            </w:r>
          </w:p>
        </w:tc>
        <w:tc>
          <w:tcPr>
            <w:tcW w:w="159" w:type="dxa"/>
            <w:tcBorders/>
            <w:vAlign w:val="bottom"/>
          </w:tcPr>
          <w:p>
            <w:pPr>
              <w:pStyle w:val="TableContents"/>
              <w:bidi w:val="0"/>
              <w:spacing w:before="0" w:after="283"/>
              <w:jc w:val="left"/>
              <w:rPr/>
            </w:pPr>
            <w:r>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net loss per Ordinary Share, Class B Ordinary Shares</w:t>
            </w:r>
          </w:p>
        </w:tc>
        <w:tc>
          <w:tcPr>
            <w:tcW w:w="29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1267" w:type="dxa"/>
            <w:tcBorders/>
            <w:shd w:fill="CCEEFF" w:val="clear"/>
            <w:vAlign w:val="bottom"/>
          </w:tcPr>
          <w:p>
            <w:pPr>
              <w:pStyle w:val="TableContents"/>
              <w:bidi w:val="0"/>
              <w:spacing w:before="0" w:after="283"/>
              <w:jc w:val="right"/>
              <w:rPr>
                <w:b/>
              </w:rPr>
            </w:pPr>
            <w:r>
              <w:rPr>
                <w:b/>
              </w:rPr>
              <w:t>(0.66</w:t>
            </w:r>
          </w:p>
        </w:tc>
        <w:tc>
          <w:tcPr>
            <w:tcW w:w="155" w:type="dxa"/>
            <w:tcBorders/>
            <w:shd w:fill="CCEEFF" w:val="clear"/>
            <w:vAlign w:val="bottom"/>
          </w:tcPr>
          <w:p>
            <w:pPr>
              <w:pStyle w:val="TableContents"/>
              <w:bidi w:val="0"/>
              <w:spacing w:before="0" w:after="283"/>
              <w:jc w:val="left"/>
              <w:rPr>
                <w:b/>
              </w:rPr>
            </w:pPr>
            <w:r>
              <w:rPr>
                <w:b/>
              </w:rPr>
              <w:t>) </w:t>
            </w:r>
          </w:p>
        </w:tc>
        <w:tc>
          <w:tcPr>
            <w:tcW w:w="26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b/>
              </w:rPr>
            </w:pPr>
            <w:r>
              <w:rPr>
                <w:b/>
              </w:rPr>
              <w:t>$</w:t>
            </w:r>
          </w:p>
        </w:tc>
        <w:tc>
          <w:tcPr>
            <w:tcW w:w="1267" w:type="dxa"/>
            <w:tcBorders/>
            <w:shd w:fill="CCEEFF" w:val="clear"/>
            <w:vAlign w:val="bottom"/>
          </w:tcPr>
          <w:p>
            <w:pPr>
              <w:pStyle w:val="TableContents"/>
              <w:bidi w:val="0"/>
              <w:spacing w:before="0" w:after="283"/>
              <w:jc w:val="right"/>
              <w:rPr>
                <w:b/>
              </w:rPr>
            </w:pPr>
            <w:r>
              <w:rPr>
                <w:b/>
              </w:rPr>
              <w:t>(0.00</w:t>
            </w:r>
          </w:p>
        </w:tc>
        <w:tc>
          <w:tcPr>
            <w:tcW w:w="159" w:type="dxa"/>
            <w:tcBorders/>
            <w:shd w:fill="CCEEFF" w:val="clear"/>
            <w:vAlign w:val="bottom"/>
          </w:tcPr>
          <w:p>
            <w:pPr>
              <w:pStyle w:val="TableContents"/>
              <w:bidi w:val="0"/>
              <w:spacing w:before="0" w:after="283"/>
              <w:jc w:val="left"/>
              <w:rPr>
                <w:b/>
              </w:rPr>
            </w:pPr>
            <w:r>
              <w:rPr>
                <w:b/>
              </w:rPr>
              <w:t>) </w:t>
            </w:r>
          </w:p>
        </w:tc>
      </w:tr>
      <w:tr>
        <w:trPr/>
        <w:tc>
          <w:tcPr>
            <w:tcW w:w="646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bookmarkStart w:id="36" w:name="fin58823_14"/>
      <w:bookmarkEnd w:id="36"/>
      <w:r>
        <w:rPr>
          <w:rFonts w:ascii="Times New Roman" w:hAnsi="Times New Roman"/>
          <w:b/>
          <w:sz w:val="20"/>
        </w:rPr>
        <w:t xml:space="preserve">CONSOLIDATED STATEMENTS OF CHANGES IN SHAREHOLDERS’ EQUITY (DEFICIT)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AND </w:t>
      </w:r>
    </w:p>
    <w:p>
      <w:pPr>
        <w:pStyle w:val="TextBody"/>
        <w:bidi w:val="0"/>
        <w:spacing w:before="0" w:after="0"/>
        <w:jc w:val="center"/>
        <w:rPr>
          <w:rFonts w:ascii="Times New Roman" w:hAnsi="Times New Roman"/>
          <w:b/>
          <w:sz w:val="20"/>
        </w:rPr>
      </w:pPr>
      <w:r>
        <w:rPr>
          <w:rFonts w:ascii="Times New Roman" w:hAnsi="Times New Roman"/>
          <w:b/>
          <w:sz w:val="20"/>
        </w:rPr>
        <w:t xml:space="preserve">FOR THE PERIOD FROM NOVEMBER 27, 2024 (INCEPTION) THROUGH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27"/>
        <w:gridCol w:w="68"/>
        <w:gridCol w:w="96"/>
        <w:gridCol w:w="615"/>
        <w:gridCol w:w="60"/>
        <w:gridCol w:w="68"/>
        <w:gridCol w:w="231"/>
        <w:gridCol w:w="630"/>
        <w:gridCol w:w="60"/>
        <w:gridCol w:w="68"/>
        <w:gridCol w:w="60"/>
        <w:gridCol w:w="983"/>
        <w:gridCol w:w="59"/>
        <w:gridCol w:w="68"/>
        <w:gridCol w:w="231"/>
        <w:gridCol w:w="630"/>
        <w:gridCol w:w="60"/>
        <w:gridCol w:w="68"/>
        <w:gridCol w:w="140"/>
        <w:gridCol w:w="1057"/>
        <w:gridCol w:w="155"/>
        <w:gridCol w:w="68"/>
        <w:gridCol w:w="145"/>
        <w:gridCol w:w="1228"/>
        <w:gridCol w:w="155"/>
        <w:gridCol w:w="67"/>
        <w:gridCol w:w="153"/>
        <w:gridCol w:w="1293"/>
        <w:gridCol w:w="162"/>
      </w:tblGrid>
      <w:tr>
        <w:trPr/>
        <w:tc>
          <w:tcPr>
            <w:tcW w:w="1527"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7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Ordinary</w:t>
              <w:br/>
              <w:t>Shares</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0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br/>
              <w:t>Ordinary Shares</w:t>
            </w:r>
          </w:p>
        </w:tc>
        <w:tc>
          <w:tcPr>
            <w:tcW w:w="60" w:type="dxa"/>
            <w:tcBorders/>
            <w:vAlign w:val="bottom"/>
          </w:tcPr>
          <w:p>
            <w:pPr>
              <w:pStyle w:val="TableContents"/>
              <w:bidi w:val="0"/>
              <w:spacing w:before="0" w:after="283"/>
              <w:jc w:val="left"/>
              <w:rPr/>
            </w:pPr>
            <w:r>
              <w:rPr/>
              <w:t> </w:t>
            </w:r>
          </w:p>
        </w:tc>
        <w:tc>
          <w:tcPr>
            <w:tcW w:w="68" w:type="dxa"/>
            <w:vMerge w:val="restart"/>
            <w:tcBorders/>
            <w:vAlign w:val="bottom"/>
          </w:tcPr>
          <w:p>
            <w:pPr>
              <w:pStyle w:val="TableContents"/>
              <w:bidi w:val="0"/>
              <w:spacing w:before="0" w:after="283"/>
              <w:jc w:val="left"/>
              <w:rPr/>
            </w:pPr>
            <w:r>
              <w:rPr/>
              <w:t> </w:t>
            </w:r>
          </w:p>
        </w:tc>
        <w:tc>
          <w:tcPr>
            <w:tcW w:w="1197"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68" w:type="dxa"/>
            <w:vMerge w:val="restart"/>
            <w:tcBorders/>
            <w:vAlign w:val="bottom"/>
          </w:tcPr>
          <w:p>
            <w:pPr>
              <w:pStyle w:val="TableContents"/>
              <w:bidi w:val="0"/>
              <w:spacing w:before="0" w:after="283"/>
              <w:jc w:val="left"/>
              <w:rPr/>
            </w:pPr>
            <w:r>
              <w:rPr/>
              <w:t> </w:t>
            </w:r>
          </w:p>
        </w:tc>
        <w:tc>
          <w:tcPr>
            <w:tcW w:w="1373"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7" w:type="dxa"/>
            <w:vMerge w:val="restart"/>
            <w:tcBorders/>
            <w:vAlign w:val="bottom"/>
          </w:tcPr>
          <w:p>
            <w:pPr>
              <w:pStyle w:val="TableContents"/>
              <w:bidi w:val="0"/>
              <w:spacing w:before="0" w:after="283"/>
              <w:jc w:val="left"/>
              <w:rPr/>
            </w:pPr>
            <w:r>
              <w:rPr/>
              <w:t> </w:t>
            </w:r>
          </w:p>
        </w:tc>
        <w:tc>
          <w:tcPr>
            <w:tcW w:w="144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Shareholders’</w:t>
              <w:br/>
              <w:t>Equity</w:t>
            </w:r>
            <w:r>
              <w:rPr/>
              <w:br/>
            </w:r>
            <w:r>
              <w:rPr>
                <w:b/>
              </w:rPr>
              <w:t>(Deficit)</w:t>
            </w:r>
          </w:p>
        </w:tc>
        <w:tc>
          <w:tcPr>
            <w:tcW w:w="162" w:type="dxa"/>
            <w:vMerge w:val="restart"/>
            <w:tcBorders/>
            <w:vAlign w:val="bottom"/>
          </w:tcPr>
          <w:p>
            <w:pPr>
              <w:pStyle w:val="TableContents"/>
              <w:bidi w:val="0"/>
              <w:spacing w:before="0" w:after="283"/>
              <w:jc w:val="left"/>
              <w:rPr/>
            </w:pPr>
            <w:r>
              <w:rPr/>
              <w:t> </w:t>
            </w:r>
          </w:p>
        </w:tc>
      </w:tr>
      <w:tr>
        <w:trPr/>
        <w:tc>
          <w:tcPr>
            <w:tcW w:w="15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5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8" w:type="dxa"/>
            <w:vMerge w:val="continue"/>
            <w:tcBorders/>
            <w:vAlign w:val="bottom"/>
          </w:tcPr>
          <w:p>
            <w:pPr>
              <w:pStyle w:val="Normal"/>
              <w:bidi w:val="0"/>
              <w:jc w:val="left"/>
              <w:rPr/>
            </w:pPr>
            <w:r>
              <w:rPr/>
            </w:r>
          </w:p>
        </w:tc>
        <w:tc>
          <w:tcPr>
            <w:tcW w:w="1197"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8" w:type="dxa"/>
            <w:vMerge w:val="continue"/>
            <w:tcBorders>
              <w:bottom w:val="single" w:sz="8" w:space="0" w:color="000000"/>
            </w:tcBorders>
            <w:tcMar>
              <w:bottom w:w="28" w:type="dxa"/>
            </w:tcMar>
            <w:vAlign w:val="bottom"/>
          </w:tcPr>
          <w:p>
            <w:pPr>
              <w:pStyle w:val="Normal"/>
              <w:bidi w:val="0"/>
              <w:jc w:val="left"/>
              <w:rPr/>
            </w:pPr>
            <w:r>
              <w:rPr/>
            </w:r>
          </w:p>
        </w:tc>
        <w:tc>
          <w:tcPr>
            <w:tcW w:w="1373"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7" w:type="dxa"/>
            <w:vMerge w:val="continue"/>
            <w:tcBorders/>
            <w:vAlign w:val="bottom"/>
          </w:tcPr>
          <w:p>
            <w:pPr>
              <w:pStyle w:val="Normal"/>
              <w:bidi w:val="0"/>
              <w:jc w:val="left"/>
              <w:rPr/>
            </w:pPr>
            <w:r>
              <w:rPr/>
            </w:r>
          </w:p>
        </w:tc>
        <w:tc>
          <w:tcPr>
            <w:tcW w:w="1446" w:type="dxa"/>
            <w:gridSpan w:val="2"/>
            <w:vMerge w:val="continue"/>
            <w:tcBorders>
              <w:bottom w:val="single" w:sz="8" w:space="0" w:color="000000"/>
            </w:tcBorders>
            <w:tcMar>
              <w:bottom w:w="28" w:type="dxa"/>
            </w:tcMar>
            <w:vAlign w:val="bottom"/>
          </w:tcPr>
          <w:p>
            <w:pPr>
              <w:pStyle w:val="Normal"/>
              <w:bidi w:val="0"/>
              <w:jc w:val="left"/>
              <w:rPr/>
            </w:pPr>
            <w:r>
              <w:rPr/>
            </w:r>
          </w:p>
        </w:tc>
        <w:tc>
          <w:tcPr>
            <w:tcW w:w="162" w:type="dxa"/>
            <w:vMerge w:val="continue"/>
            <w:tcBorders/>
            <w:vAlign w:val="bottom"/>
          </w:tcPr>
          <w:p>
            <w:pPr>
              <w:pStyle w:val="Normal"/>
              <w:bidi w:val="0"/>
              <w:jc w:val="left"/>
              <w:rPr/>
            </w:pPr>
            <w:r>
              <w:rPr/>
            </w:r>
          </w:p>
        </w:tc>
      </w:tr>
      <w:tr>
        <w:trPr/>
        <w:tc>
          <w:tcPr>
            <w:tcW w:w="15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 November 27, 2024 (Inception)</w:t>
            </w:r>
          </w:p>
        </w:tc>
        <w:tc>
          <w:tcPr>
            <w:tcW w:w="6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5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1293"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1527" w:type="dxa"/>
            <w:tcBorders/>
          </w:tcPr>
          <w:p>
            <w:pPr>
              <w:pStyle w:val="TableContents"/>
              <w:bidi w:val="0"/>
              <w:spacing w:before="0" w:after="0"/>
              <w:jc w:val="left"/>
              <w:rPr>
                <w:rFonts w:ascii="Times New Roman" w:hAnsi="Times New Roman"/>
                <w:sz w:val="20"/>
              </w:rPr>
            </w:pPr>
            <w:r>
              <w:rPr>
                <w:rFonts w:ascii="Times New Roman" w:hAnsi="Times New Roman"/>
                <w:sz w:val="20"/>
              </w:rPr>
              <w:t>Class B Ordinary Shares issued to Sponsor</w:t>
            </w:r>
          </w:p>
        </w:tc>
        <w:tc>
          <w:tcPr>
            <w:tcW w:w="6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5,750,000</w:t>
            </w:r>
          </w:p>
        </w:tc>
        <w:tc>
          <w:tcPr>
            <w:tcW w:w="5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575</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24,425</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25,000</w:t>
            </w:r>
          </w:p>
        </w:tc>
        <w:tc>
          <w:tcPr>
            <w:tcW w:w="162" w:type="dxa"/>
            <w:tcBorders/>
            <w:vAlign w:val="bottom"/>
          </w:tcPr>
          <w:p>
            <w:pPr>
              <w:pStyle w:val="TableContents"/>
              <w:bidi w:val="0"/>
              <w:spacing w:before="0" w:after="283"/>
              <w:jc w:val="left"/>
              <w:rPr/>
            </w:pPr>
            <w:r>
              <w:rPr/>
              <w:t> </w:t>
            </w:r>
          </w:p>
        </w:tc>
      </w:tr>
      <w:tr>
        <w:trPr/>
        <w:tc>
          <w:tcPr>
            <w:tcW w:w="15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(18,571</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(18,571</w:t>
            </w:r>
          </w:p>
        </w:tc>
        <w:tc>
          <w:tcPr>
            <w:tcW w:w="162" w:type="dxa"/>
            <w:tcBorders/>
            <w:shd w:fill="CCEEFF" w:val="clear"/>
            <w:vAlign w:val="bottom"/>
          </w:tcPr>
          <w:p>
            <w:pPr>
              <w:pStyle w:val="TableContents"/>
              <w:bidi w:val="0"/>
              <w:spacing w:before="0" w:after="283"/>
              <w:jc w:val="left"/>
              <w:rPr/>
            </w:pPr>
            <w:r>
              <w:rPr/>
              <w:t>) </w:t>
            </w:r>
          </w:p>
        </w:tc>
      </w:tr>
      <w:tr>
        <w:trPr/>
        <w:tc>
          <w:tcPr>
            <w:tcW w:w="152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29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527"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 December 31, 2024</w:t>
            </w:r>
          </w:p>
        </w:tc>
        <w:tc>
          <w:tcPr>
            <w:tcW w:w="6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b/>
              </w:rPr>
            </w:pPr>
            <w:r>
              <w:rPr>
                <w:b/>
              </w:rPr>
              <w:t>5,750,000</w:t>
            </w:r>
          </w:p>
        </w:tc>
        <w:tc>
          <w:tcPr>
            <w:tcW w:w="5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b/>
              </w:rPr>
            </w:pPr>
            <w:r>
              <w:rPr>
                <w:b/>
              </w:rPr>
              <w:t>575</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b/>
              </w:rPr>
            </w:pPr>
            <w:r>
              <w:rPr>
                <w:b/>
              </w:rPr>
              <w:t>24,425</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b/>
              </w:rPr>
            </w:pPr>
            <w:r>
              <w:rPr>
                <w:b/>
              </w:rPr>
              <w:t>(18,571</w:t>
            </w:r>
          </w:p>
        </w:tc>
        <w:tc>
          <w:tcPr>
            <w:tcW w:w="155"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b/>
              </w:rPr>
            </w:pPr>
            <w:r>
              <w:rPr>
                <w:b/>
              </w:rPr>
              <w:t>6,429</w:t>
            </w:r>
          </w:p>
        </w:tc>
        <w:tc>
          <w:tcPr>
            <w:tcW w:w="162" w:type="dxa"/>
            <w:tcBorders/>
            <w:vAlign w:val="bottom"/>
          </w:tcPr>
          <w:p>
            <w:pPr>
              <w:pStyle w:val="TableContents"/>
              <w:bidi w:val="0"/>
              <w:spacing w:before="0" w:after="283"/>
              <w:jc w:val="left"/>
              <w:rPr/>
            </w:pPr>
            <w:r>
              <w:rPr/>
              <w:t> </w:t>
            </w:r>
          </w:p>
        </w:tc>
      </w:tr>
      <w:tr>
        <w:trPr/>
        <w:tc>
          <w:tcPr>
            <w:tcW w:w="15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 of Private Placement Warrants</w:t>
            </w:r>
          </w:p>
        </w:tc>
        <w:tc>
          <w:tcPr>
            <w:tcW w:w="6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4,500,000</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4,500,000</w:t>
            </w:r>
          </w:p>
        </w:tc>
        <w:tc>
          <w:tcPr>
            <w:tcW w:w="162" w:type="dxa"/>
            <w:tcBorders/>
            <w:shd w:fill="CCEEFF" w:val="clear"/>
            <w:vAlign w:val="bottom"/>
          </w:tcPr>
          <w:p>
            <w:pPr>
              <w:pStyle w:val="TableContents"/>
              <w:bidi w:val="0"/>
              <w:spacing w:before="0" w:after="283"/>
              <w:jc w:val="left"/>
              <w:rPr/>
            </w:pPr>
            <w:r>
              <w:rPr/>
              <w:t> </w:t>
            </w:r>
          </w:p>
        </w:tc>
      </w:tr>
      <w:tr>
        <w:trPr/>
        <w:tc>
          <w:tcPr>
            <w:tcW w:w="1527"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Public Warrants at issuance</w:t>
            </w:r>
          </w:p>
        </w:tc>
        <w:tc>
          <w:tcPr>
            <w:tcW w:w="6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2,185,000</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2,185,000</w:t>
            </w:r>
          </w:p>
        </w:tc>
        <w:tc>
          <w:tcPr>
            <w:tcW w:w="162" w:type="dxa"/>
            <w:tcBorders/>
            <w:vAlign w:val="bottom"/>
          </w:tcPr>
          <w:p>
            <w:pPr>
              <w:pStyle w:val="TableContents"/>
              <w:bidi w:val="0"/>
              <w:spacing w:before="0" w:after="283"/>
              <w:jc w:val="left"/>
              <w:rPr/>
            </w:pPr>
            <w:r>
              <w:rPr/>
              <w:t> </w:t>
            </w:r>
          </w:p>
        </w:tc>
      </w:tr>
      <w:tr>
        <w:trPr/>
        <w:tc>
          <w:tcPr>
            <w:tcW w:w="15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Allocated value of transaction costs to Class A Ordinary Shares</w:t>
            </w:r>
          </w:p>
        </w:tc>
        <w:tc>
          <w:tcPr>
            <w:tcW w:w="6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(84,264</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(84,264</w:t>
            </w:r>
          </w:p>
        </w:tc>
        <w:tc>
          <w:tcPr>
            <w:tcW w:w="162" w:type="dxa"/>
            <w:tcBorders/>
            <w:shd w:fill="CCEEFF" w:val="clear"/>
            <w:vAlign w:val="bottom"/>
          </w:tcPr>
          <w:p>
            <w:pPr>
              <w:pStyle w:val="TableContents"/>
              <w:bidi w:val="0"/>
              <w:spacing w:before="0" w:after="283"/>
              <w:jc w:val="left"/>
              <w:rPr/>
            </w:pPr>
            <w:r>
              <w:rPr/>
              <w:t>) </w:t>
            </w:r>
          </w:p>
        </w:tc>
      </w:tr>
      <w:tr>
        <w:trPr/>
        <w:tc>
          <w:tcPr>
            <w:tcW w:w="1527" w:type="dxa"/>
            <w:tcBorders/>
          </w:tcPr>
          <w:p>
            <w:pPr>
              <w:pStyle w:val="TableContents"/>
              <w:bidi w:val="0"/>
              <w:spacing w:before="0" w:after="0"/>
              <w:jc w:val="left"/>
              <w:rPr>
                <w:rFonts w:ascii="Times New Roman" w:hAnsi="Times New Roman"/>
                <w:sz w:val="20"/>
              </w:rPr>
            </w:pPr>
            <w:r>
              <w:rPr>
                <w:rFonts w:ascii="Times New Roman" w:hAnsi="Times New Roman"/>
                <w:sz w:val="20"/>
              </w:rPr>
              <w:t>Accretion for Class A Ordinary Shares to redemption amount</w:t>
            </w:r>
          </w:p>
        </w:tc>
        <w:tc>
          <w:tcPr>
            <w:tcW w:w="6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(6,625,161</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(12,241,018</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(18,866,179</w:t>
            </w:r>
          </w:p>
        </w:tc>
        <w:tc>
          <w:tcPr>
            <w:tcW w:w="162" w:type="dxa"/>
            <w:tcBorders/>
            <w:vAlign w:val="bottom"/>
          </w:tcPr>
          <w:p>
            <w:pPr>
              <w:pStyle w:val="TableContents"/>
              <w:bidi w:val="0"/>
              <w:spacing w:before="0" w:after="283"/>
              <w:jc w:val="left"/>
              <w:rPr/>
            </w:pPr>
            <w:r>
              <w:rPr/>
              <w:t>) </w:t>
            </w:r>
          </w:p>
        </w:tc>
      </w:tr>
      <w:tr>
        <w:trPr/>
        <w:tc>
          <w:tcPr>
            <w:tcW w:w="15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(16,495,381</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(16,495,381</w:t>
            </w:r>
          </w:p>
        </w:tc>
        <w:tc>
          <w:tcPr>
            <w:tcW w:w="162" w:type="dxa"/>
            <w:tcBorders/>
            <w:shd w:fill="CCEEFF" w:val="clear"/>
            <w:vAlign w:val="bottom"/>
          </w:tcPr>
          <w:p>
            <w:pPr>
              <w:pStyle w:val="TableContents"/>
              <w:bidi w:val="0"/>
              <w:spacing w:before="0" w:after="283"/>
              <w:jc w:val="left"/>
              <w:rPr/>
            </w:pPr>
            <w:r>
              <w:rPr/>
              <w:t>) </w:t>
            </w:r>
          </w:p>
        </w:tc>
      </w:tr>
      <w:tr>
        <w:trPr/>
        <w:tc>
          <w:tcPr>
            <w:tcW w:w="152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29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52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 December 31, 2025</w:t>
            </w:r>
          </w:p>
        </w:tc>
        <w:tc>
          <w:tcPr>
            <w:tcW w:w="6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6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b/>
              </w:rPr>
            </w:pPr>
            <w:r>
              <w:rPr>
                <w:b/>
              </w:rPr>
              <w:t>5,750,000</w:t>
            </w:r>
          </w:p>
        </w:tc>
        <w:tc>
          <w:tcPr>
            <w:tcW w:w="5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630" w:type="dxa"/>
            <w:tcBorders/>
            <w:vAlign w:val="bottom"/>
          </w:tcPr>
          <w:p>
            <w:pPr>
              <w:pStyle w:val="TableContents"/>
              <w:bidi w:val="0"/>
              <w:spacing w:before="0" w:after="283"/>
              <w:jc w:val="right"/>
              <w:rPr>
                <w:b/>
              </w:rPr>
            </w:pPr>
            <w:r>
              <w:rPr>
                <w:b/>
              </w:rPr>
              <w:t>575</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5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28" w:type="dxa"/>
            <w:tcBorders/>
            <w:vAlign w:val="bottom"/>
          </w:tcPr>
          <w:p>
            <w:pPr>
              <w:pStyle w:val="TableContents"/>
              <w:bidi w:val="0"/>
              <w:spacing w:before="0" w:after="283"/>
              <w:jc w:val="right"/>
              <w:rPr>
                <w:b/>
              </w:rPr>
            </w:pPr>
            <w:r>
              <w:rPr>
                <w:b/>
              </w:rPr>
              <w:t>(28,754,970</w:t>
            </w:r>
          </w:p>
        </w:tc>
        <w:tc>
          <w:tcPr>
            <w:tcW w:w="155"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b/>
              </w:rPr>
            </w:pPr>
            <w:r>
              <w:rPr>
                <w:b/>
              </w:rPr>
              <w:t>$</w:t>
            </w:r>
          </w:p>
        </w:tc>
        <w:tc>
          <w:tcPr>
            <w:tcW w:w="1293" w:type="dxa"/>
            <w:tcBorders/>
            <w:vAlign w:val="bottom"/>
          </w:tcPr>
          <w:p>
            <w:pPr>
              <w:pStyle w:val="TableContents"/>
              <w:bidi w:val="0"/>
              <w:spacing w:before="0" w:after="283"/>
              <w:jc w:val="right"/>
              <w:rPr>
                <w:b/>
              </w:rPr>
            </w:pPr>
            <w:r>
              <w:rPr>
                <w:b/>
              </w:rPr>
              <w:t>(28,754,395</w:t>
            </w:r>
          </w:p>
        </w:tc>
        <w:tc>
          <w:tcPr>
            <w:tcW w:w="162" w:type="dxa"/>
            <w:tcBorders/>
            <w:vAlign w:val="bottom"/>
          </w:tcPr>
          <w:p>
            <w:pPr>
              <w:pStyle w:val="TableContents"/>
              <w:bidi w:val="0"/>
              <w:spacing w:before="0" w:after="283"/>
              <w:jc w:val="left"/>
              <w:rPr>
                <w:b/>
              </w:rPr>
            </w:pPr>
            <w:r>
              <w:rPr>
                <w:b/>
              </w:rPr>
              <w:t>) </w:t>
            </w:r>
          </w:p>
        </w:tc>
      </w:tr>
      <w:tr>
        <w:trPr/>
        <w:tc>
          <w:tcPr>
            <w:tcW w:w="152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293"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bookmarkStart w:id="37" w:name="fin58823_15"/>
      <w:bookmarkEnd w:id="37"/>
      <w:r>
        <w:rPr>
          <w:rFonts w:ascii="Times New Roman" w:hAnsi="Times New Roman"/>
          <w:b/>
          <w:sz w:val="20"/>
        </w:rPr>
        <w:t xml:space="preserve">CONSOLIDATED 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68"/>
        <w:gridCol w:w="371"/>
        <w:gridCol w:w="140"/>
        <w:gridCol w:w="1390"/>
        <w:gridCol w:w="155"/>
        <w:gridCol w:w="330"/>
        <w:gridCol w:w="226"/>
        <w:gridCol w:w="1266"/>
        <w:gridCol w:w="159"/>
      </w:tblGrid>
      <w:tr>
        <w:trPr/>
        <w:tc>
          <w:tcPr>
            <w:tcW w:w="6168"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68"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w:t>
              <w:br/>
              <w:t>Year Ended</w:t>
              <w:br/>
              <w:t>December 31,</w:t>
              <w:br/>
              <w:t>2025</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w:t>
              <w:br/>
              <w:t>Period from</w:t>
              <w:br/>
              <w:t>November 27,</w:t>
              <w:br/>
              <w:t>2024</w:t>
              <w:br/>
              <w:t>(Inception)</w:t>
              <w:br/>
              <w:t>Through</w:t>
              <w:br/>
              <w:t>December 31,</w:t>
              <w:br/>
              <w:t>2024</w:t>
            </w:r>
          </w:p>
        </w:tc>
        <w:tc>
          <w:tcPr>
            <w:tcW w:w="15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6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90" w:type="dxa"/>
            <w:tcBorders/>
            <w:vAlign w:val="bottom"/>
          </w:tcPr>
          <w:p>
            <w:pPr>
              <w:pStyle w:val="TableContents"/>
              <w:bidi w:val="0"/>
              <w:spacing w:before="0" w:after="283"/>
              <w:jc w:val="right"/>
              <w:rPr/>
            </w:pPr>
            <w:r>
              <w:rPr/>
              <w:t>(16,495,381</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66" w:type="dxa"/>
            <w:tcBorders/>
            <w:vAlign w:val="bottom"/>
          </w:tcPr>
          <w:p>
            <w:pPr>
              <w:pStyle w:val="TableContents"/>
              <w:bidi w:val="0"/>
              <w:spacing w:before="0" w:after="283"/>
              <w:jc w:val="right"/>
              <w:rPr/>
            </w:pPr>
            <w:r>
              <w:rPr/>
              <w:t>(18,571</w:t>
            </w:r>
          </w:p>
        </w:tc>
        <w:tc>
          <w:tcPr>
            <w:tcW w:w="15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6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Payment of formation costs included in general and administrative expenses through IPO Promissory Note – related party</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5,370</w:t>
            </w:r>
          </w:p>
        </w:tc>
        <w:tc>
          <w:tcPr>
            <w:tcW w:w="15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expenses through IPO Promissory Note – related party</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2,251</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10,451</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Interest earned on marketable securities held in Trust Account</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(7,892,295</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loss on PIPE Subscription Agreements liability</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15,582,052</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PIPE Subscription Agreements liability</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(307,964</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6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(83,371</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prepaid insurance</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(14,167</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1,033,537</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2,750</w:t>
            </w:r>
          </w:p>
        </w:tc>
        <w:tc>
          <w:tcPr>
            <w:tcW w:w="15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Advisory Fee payable</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6,900,000</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b/>
              </w:rPr>
            </w:pPr>
            <w:r>
              <w:rPr>
                <w:b/>
              </w:rPr>
              <w:t>(1,275,338</w:t>
            </w:r>
          </w:p>
        </w:tc>
        <w:tc>
          <w:tcPr>
            <w:tcW w:w="155" w:type="dxa"/>
            <w:tcBorders/>
            <w:vAlign w:val="bottom"/>
          </w:tcPr>
          <w:p>
            <w:pPr>
              <w:pStyle w:val="TableContents"/>
              <w:bidi w:val="0"/>
              <w:spacing w:before="0" w:after="283"/>
              <w:jc w:val="left"/>
              <w:rPr>
                <w:b/>
              </w:rPr>
            </w:pPr>
            <w:r>
              <w:rPr>
                <w:b/>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6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Investment of cash into Trust Account</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(231,150,000</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b/>
              </w:rPr>
            </w:pPr>
            <w:r>
              <w:rPr>
                <w:b/>
              </w:rPr>
              <w:t>(231,150,000</w:t>
            </w:r>
          </w:p>
        </w:tc>
        <w:tc>
          <w:tcPr>
            <w:tcW w:w="155" w:type="dxa"/>
            <w:tcBorders/>
            <w:shd w:fill="CCEEFF" w:val="clear"/>
            <w:vAlign w:val="bottom"/>
          </w:tcPr>
          <w:p>
            <w:pPr>
              <w:pStyle w:val="TableContents"/>
              <w:bidi w:val="0"/>
              <w:spacing w:before="0" w:after="283"/>
              <w:jc w:val="left"/>
              <w:rPr>
                <w:b/>
              </w:rPr>
            </w:pPr>
            <w:r>
              <w:rPr>
                <w:b/>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6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1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Proceeds from sale of Units, net of underwriting discounts paid</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229,750,000</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Proceeds from sale of Private Placements Warrants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4,500,000</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Repayment from Sponsor</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(713</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Repayment of IPO Promissory Note – related party</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(176,573</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Payment of offering costs</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(317,943</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b/>
              </w:rPr>
            </w:pPr>
            <w:r>
              <w:rPr>
                <w:b/>
              </w:rPr>
              <w:t>233,754,771</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change in cash and cash equivalents</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b/>
              </w:rPr>
            </w:pPr>
            <w:r>
              <w:rPr>
                <w:b/>
              </w:rPr>
              <w:t>1,329,433</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the period</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end of the period</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390" w:type="dxa"/>
            <w:tcBorders/>
            <w:shd w:fill="CCEEFF" w:val="clear"/>
            <w:vAlign w:val="bottom"/>
          </w:tcPr>
          <w:p>
            <w:pPr>
              <w:pStyle w:val="TableContents"/>
              <w:bidi w:val="0"/>
              <w:spacing w:before="0" w:after="283"/>
              <w:jc w:val="right"/>
              <w:rPr>
                <w:b/>
              </w:rPr>
            </w:pPr>
            <w:r>
              <w:rPr>
                <w:b/>
              </w:rPr>
              <w:t>1,329,433</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b/>
              </w:rPr>
            </w:pPr>
            <w:r>
              <w:rPr>
                <w:b/>
              </w:rPr>
              <w:t>$</w:t>
            </w:r>
          </w:p>
        </w:tc>
        <w:tc>
          <w:tcPr>
            <w:tcW w:w="126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26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b/>
                <w:sz w:val="20"/>
              </w:rPr>
            </w:pPr>
            <w:r>
              <w:rPr>
                <w:rFonts w:ascii="Times New Roman" w:hAnsi="Times New Roman"/>
                <w:b/>
                <w:sz w:val="20"/>
              </w:rPr>
              <w:t>Non-cash investing and financing activities: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6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paid through IPO Promissory Note – related party</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66" w:type="dxa"/>
            <w:tcBorders/>
            <w:shd w:fill="CCEEFF" w:val="clear"/>
            <w:vAlign w:val="bottom"/>
          </w:tcPr>
          <w:p>
            <w:pPr>
              <w:pStyle w:val="TableContents"/>
              <w:bidi w:val="0"/>
              <w:spacing w:before="0" w:after="283"/>
              <w:jc w:val="right"/>
              <w:rPr/>
            </w:pPr>
            <w:r>
              <w:rPr/>
              <w:t>28,955</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26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Deferred offering costs paid by Sponsor in exchange for issuance of Class B Ordinary Shares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66" w:type="dxa"/>
            <w:tcBorders/>
            <w:vAlign w:val="bottom"/>
          </w:tcPr>
          <w:p>
            <w:pPr>
              <w:pStyle w:val="TableContents"/>
              <w:bidi w:val="0"/>
              <w:spacing w:before="0" w:after="283"/>
              <w:jc w:val="right"/>
              <w:rPr/>
            </w:pPr>
            <w:r>
              <w:rPr/>
              <w:t>25,000</w:t>
            </w:r>
          </w:p>
        </w:tc>
        <w:tc>
          <w:tcPr>
            <w:tcW w:w="159" w:type="dxa"/>
            <w:tcBorders/>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26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costs paid through IPO Promissory Note – related party</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90" w:type="dxa"/>
            <w:tcBorders/>
            <w:shd w:fill="CCEEFF" w:val="clear"/>
            <w:vAlign w:val="bottom"/>
          </w:tcPr>
          <w:p>
            <w:pPr>
              <w:pStyle w:val="TableContents"/>
              <w:bidi w:val="0"/>
              <w:spacing w:before="0" w:after="283"/>
              <w:jc w:val="right"/>
              <w:rPr/>
            </w:pPr>
            <w:r>
              <w:rPr/>
              <w:t>115,955</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66" w:type="dxa"/>
            <w:tcBorders/>
            <w:shd w:fill="CCEEFF" w:val="clear"/>
            <w:vAlign w:val="bottom"/>
          </w:tcPr>
          <w:p>
            <w:pPr>
              <w:pStyle w:val="TableContents"/>
              <w:bidi w:val="0"/>
              <w:spacing w:before="0" w:after="283"/>
              <w:jc w:val="right"/>
              <w:rPr/>
            </w:pPr>
            <w:r>
              <w:rPr/>
              <w:t>13,591</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26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Offering costs included in accrued offering costs</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90" w:type="dxa"/>
            <w:tcBorders/>
            <w:vAlign w:val="bottom"/>
          </w:tcPr>
          <w:p>
            <w:pPr>
              <w:pStyle w:val="TableContents"/>
              <w:bidi w:val="0"/>
              <w:spacing w:before="0" w:after="283"/>
              <w:jc w:val="right"/>
              <w:rPr/>
            </w:pPr>
            <w:r>
              <w:rPr/>
              <w:t>82,107</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26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w:t>
            </w:r>
          </w:p>
        </w:tc>
        <w:tc>
          <w:tcPr>
            <w:tcW w:w="3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90" w:type="dxa"/>
            <w:tcBorders/>
            <w:shd w:fill="CCEEFF" w:val="clear"/>
            <w:vAlign w:val="bottom"/>
          </w:tcPr>
          <w:p>
            <w:pPr>
              <w:pStyle w:val="TableContents"/>
              <w:bidi w:val="0"/>
              <w:spacing w:before="0" w:after="283"/>
              <w:jc w:val="right"/>
              <w:rPr/>
            </w:pPr>
            <w:r>
              <w:rPr/>
              <w:t>6,900,000</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6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26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Deferred offering costs applied to prepaid expense</w:t>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90" w:type="dxa"/>
            <w:tcBorders/>
            <w:vAlign w:val="bottom"/>
          </w:tcPr>
          <w:p>
            <w:pPr>
              <w:pStyle w:val="TableContents"/>
              <w:bidi w:val="0"/>
              <w:spacing w:before="0" w:after="283"/>
              <w:jc w:val="right"/>
              <w:rPr/>
            </w:pPr>
            <w:r>
              <w:rPr/>
              <w:t>5,206</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6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26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bookmarkStart w:id="38" w:name="fin58823_16"/>
      <w:bookmarkEnd w:id="38"/>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240" w:after="0"/>
        <w:jc w:val="left"/>
        <w:rPr>
          <w:rFonts w:ascii="Times New Roman" w:hAnsi="Times New Roman"/>
          <w:b/>
          <w:sz w:val="20"/>
        </w:rPr>
      </w:pPr>
      <w:r>
        <w:rPr>
          <w:rFonts w:ascii="Times New Roman" w:hAnsi="Times New Roman"/>
          <w:b/>
          <w:sz w:val="20"/>
        </w:rPr>
        <w:t xml:space="preserve">NOTE 1. DESCRIPTION OF ORGANIZATION AND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Live Oak Acquisition Corp. V (the “Company”) is a blank check company incorporated as a Cayman Islands exempted corporation on November 27, 2024. The Company was incorporated for the purpose of effecting a merger, amalgamation, share exchange, asset acquisition, share purchase, reorganization or similar business combination with one or more businesses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two wholly owned subsidiaries, Catalyst Sub Inc., a Delaware corporation, incorporated on November 6, 2025 (“Merger Sub”), and Catalyst Sub 2 LLC, a Delaware limited liability company, incorporated on November 6, 2025 (“Merger Sub II”, and together with Merger Sub, the “Merger Subs”), which were formed solely in contemplation of the proposed Teamshares Business Combination (as defined and described below). The Merger Subs have not commenced any operations and have only nominal assets and no liabilities or contingent liabilities, nor any outstanding commitments other than in connection with the Teamshares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not commenced any operations. All activity for the period from November 27, 2024 (inception) through December 31, 2025 relates to the Company’s formation, the Initial Public Offering (as defined below), and subsequent to the Initial Public Offering, identifying a target company for and consummating a Business Combination, including the Teamshares Business Combination. The Company will not generate any operating revenues until after the completion of its initial Business Combination, at the earliest. The Company generates non-operating income in the form of interest income on the proceeds derived from the Initial Public Offering. The Company has selected December 31 as its fiscal year end. </w:t>
      </w:r>
    </w:p>
    <w:p>
      <w:pPr>
        <w:pStyle w:val="TextBody"/>
        <w:bidi w:val="0"/>
        <w:spacing w:before="240" w:after="0"/>
        <w:jc w:val="left"/>
        <w:rPr>
          <w:rFonts w:ascii="Times New Roman" w:hAnsi="Times New Roman"/>
          <w:sz w:val="20"/>
        </w:rPr>
      </w:pPr>
      <w:r>
        <w:rPr>
          <w:rFonts w:ascii="Times New Roman" w:hAnsi="Times New Roman"/>
          <w:sz w:val="20"/>
        </w:rPr>
        <w:t xml:space="preserve">The Company’s Sponsor is Live Oak Sponsor V LLC, a Delaware limited liability company (the “Sponsor”). The Registration Statement on Form S-1 for the Initial Public Offering, initially filed with the U.S. Securities and Exchange Commission (the “SEC”) on January 10, 2025, as amended (File No. 333-284207), was declared effective on February 27, 2025 (the “IPO Registration Statement”). On March 3, 2025, the Company consummated the initial public offering of 23,000,000 units of the Company at $10.00 per unit (the “Units”), which included the full exercise by the several underwriters of the Initial Public Offering (the “Underwriters”) of their over-allotment option (the “Over-Allotment Option”) in the amount of 3,000,000 Units (the “Option Units”), at $10.00 per Option Unit, generating gross proceeds of $230,000,000 (the “Initial Public Offering”). Each Unit consists of one Class A ordinary share, par value $0.0001 per share, of the Company (the “Class A Ordinary Shares” and with respect to the Class A Ordinary Shares included in the Units, the “Public Shares”) and one-half of one redeemable warrant of the Company (the “Public Warrants”).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an aggregate of 4,500,000 warrants (the “Private Placement Warrants,” and together with the Public Warrants, the “Warrants”) at a price of $1.00 per Private Placement Warrant, in a private placement to the Sponsor, generating gross proceeds of $4,500,000 (the “Private Placement”). Each whole Warrant entitles the holder to purchase one Class A Ordinary Share at a price of $11.50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(“Management”) has broad discretion with respect to the specific application of the net proceeds of the Initial Public Offering and the Private Placement, although substantially all of the net proceeds are intended to be generally applied toward consummating a Business Combination (less the Deferred Fee (as defined in Note 6) and taxes payable, if any).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amounted to $7,723,148, consisting of $250,000 of cash underwriting fee, the Deferred Fee of $6,900,000 and $573,148 of other offering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Business Combination must be with one or more target businesses that together have a fair market value equal to at least 80% of the net balance in the Trust Account (as defined below) (excluding the amount of Deferred Fee held and taxes payable on the income earned on the Trust Account, if any) at the time of the signing an agreement to enter into a Business Combination. However,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of the Initial Public Offering, on March 3, 2025, an amount of $231,150,000 ($10.05 per Unit) from the net proceeds of Initial Public Offering and the Private Placement was held in a trust account (the “Trust Account”) located in the United States, with Continental Stock Transfer &amp; Trust Company (“Continental”) acting as trustee and are initially held in cash, including in demand deposit accounts at a bank, or invested in U.S. Department of the Treasury (“Treasury”) obligations with a maturity of 185 days or less or in money market funds meeting certain conditions under Rule 2a-7 under the Investment Company Act, that invest only in direct Treasury obligations; the holding of these assets in this form is intended to be temporary and for the sole purpose of facilitating the intended Business Combination. To mitigate the risk that the Company might be deemed to be an investment company for purposes of the Investment Company Act, which risk increases the longer that the Company holds investments in the Trust Account, the Company may, at any time (based on Management’s ongoing assessment of all factors related to the potential status of the Company under the Investment Company Act), instruct Continental to liquidate the investments held in the Trust Account and instead to hold the funds in the Trust Account in cash or in an interest-bearing demand deposit account at a bank. Interest earned on the funds held in the Trust Account may only be released to the Company to pay its taxes, if any, and any such withdrawals can only be made from interest and not from the principal held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The proceeds from the Initial Public Offering and the Private Placement will not be released from the Trust Account until the earliest of (i) the completion of the initial Business Combination, (ii) the redemption of the Public Shares if the Company is unable to complete the initial Business Combination by March 3, 2027 (since the Company has executed a definitive agreement for an initial Business Combination by December 3, 2026), as may be extended by shareholder approval to amend the Company’s amended and restated memorandum and articles of association (the “Amended and Restated Articles”) to extend the date by which the Company must consummate an initial Business Combination) or by such earlier liquidation date as the Company’s board of directors (the “Board”) may approve (the “Combination Period”)), subject to applicable law, or (iii) the redemption of the Public Shares properly submitted in connection with a shareholder vote to amend the Amended and Restated Articles to modify (x) the substance or timing of the Company’s obligation to allow redemption in connection with the initial Business Combination or to redeem 100% of the Public Shares if the Company has not consummated an initial Business Combination within the Combination Period or (y) any other material provisions relating to shareholders’ rights or pre-initial Business Combination activity. The proceeds deposited in the Trust Account could become subject to the claims of the Company’s creditors, if any, which could have priority over the claims of the holders of the Public Shares (the “Public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the Public Shareholders with the opportunity to redeem all or a portion of their Public Shares upon the completion of the initial Business Combination either (i) in connection with a general meeting called to approve the initial Business Combination or (ii) without a shareholder vote by means of a tender offer. The decision as to whether the Company will seek shareholder approval of a proposed initial Business Combination or conduct a tender offer will be made by the Company, solely in its discretion. The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Shareholders will be entitled to redeem their Public Shares at a per-share price, payable in cash, equal to the aggregate amount then on deposit in the Trust Account calculated as of two business days prior to the consummation of the initial Business Combination, including interest earned on the funds held in the Trust Account (less taxes payable, if any), divided by the number of then outstanding Public Shares, subject to the limitations of applicable law and the Amended and Restated Articles. As of December 31, 2025, the amount of the Trust Account was $10.39 per Public Share. </w:t>
      </w:r>
    </w:p>
    <w:p>
      <w:pPr>
        <w:pStyle w:val="TextBody"/>
        <w:bidi w:val="0"/>
        <w:spacing w:before="240" w:after="0"/>
        <w:jc w:val="left"/>
        <w:rPr>
          <w:rFonts w:ascii="Times New Roman" w:hAnsi="Times New Roman"/>
          <w:sz w:val="20"/>
        </w:rPr>
      </w:pPr>
      <w:r>
        <w:rPr>
          <w:rFonts w:ascii="Times New Roman" w:hAnsi="Times New Roman"/>
          <w:sz w:val="20"/>
        </w:rPr>
        <w:t xml:space="preserve">The Ordinary Shares (as defined in Note 5) subject to redemption were recorded at a redemption value and classified as temporary equity at the completion of the Initial Public Offering, in accordance with Financial Accounting Standards Board (“FASB”) Accounting Standards Codification (“ASC”) Topic 480, “Distinguishing Liabilities from Equity”.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only the duration of the Combination Period to complete the initial Business Combination. If the Company is unable to complete its initial Business Combination within the Combination Period, the Company will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if any, and up to $100,000 of interest to pay dissolution expenses), divided by the number of then outstanding Public Shares, which redemption will constitute full and complete payment for the Public Shares and completely extinguish Public Shareholders’ rights as shareholders (including the right to receive further liquidation or other distributions, if any), subject to the Company’s obligations under Cayman Islands law to provide for claims of creditors and subject to the other requirements of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Sponsor and the Company’s officers and directors have entered into a letter agreement with the Company, dated February 27, 2025 (the “Letter Agreement”), pursuant to which they have agreed to (i) waive their redemption rights with respect to their Founder Shares (as defined in Note 5) and Public Shares in connection with (x) the completion of the initial Business Combination or an earlier redemption in connection with the commencement of the procedures to consummate the initial Business Combination if the Company determines it is desirable to facilitate the completion of the initial Business Combination and (y) a shareholder vote to approve an amendment to the Amended and Restated Articles to modify (1) the substance or timing of the Company’s obligation to allow redemption in connection with the initial Business Combination or to redeem 100% of the Public Shares if the Company has not consummated an initial Business Combination within the Combination Period or (2) any other material provisions relating to shareholders’ rights or pre-initial Business Combination; (ii) waive their redemption rights with respect to their Founder Shares and Public Shares in connection with a shareholder vote to approve an amendment to the Amended and Restated Articles; (iii) waive their rights to liquidating distributions from the Trust Account with respect to their Founder Shares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Combination Period and to liquidating distributions from assets outside the Trust Account; and (iv) vote any Founder Shares held by them and any Public Shares purchased during or after the Initial Public Offering (including in open market and privately negotiated transactions) in favor of the initial Business Combination (except that any Public Shares such parties may purchase in compliance with the requirements of Rule 14e-5 under the Securities Exchange Act of 1934, as amended (the “Exchange Act”), would not be voted in favor of approving the Business Combination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Sponsor has agreed that it will be liable to the Company if and to the extent any claims by a third party (other than the Company’s independent public accountants) for services rendered or products sold to the Company, or a prospective target business with which the Company has entered into a written letter of intent,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confidentiality or other similar agreement or Business Combination agreement, reduce the amount of funds in the Trust Account to below the lesser of (i) $10.05 per Public Share and (ii) the actual amount per Public Share held in the Trust Account as of the date of the liquidation of the Trust Account, if less than $10.05 per Public Share due to reductions in the value of the Trust Account assets, less income taxes payable, provided that such liability will not apply to any claims by a third party (other than the Company’s independent public accountants) or prospective target business who executed a waiver of any and all rights to the monies held in the Trust Account (whether or not such waiver is enforceable) nor will it apply to any claims under the Company’s indemnity of the Underwriters against certain liabilities, including liabilities under the Securities Act of 1933, as amended (the “Securities Act”). However, the Company has not asked the Sponsor to reserve for such indemnification obligations, nor has the Company independently verified whether the Sponsor has sufficient funds to satisfy its indemnity obligations, and the Company believes that the Sponsor’s only assets are securities of the Company. Therefore, there can be no assurance that the Sponsor will be able to satisfy those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Teamshares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November 14, 2025, the Company entered into an Agreement and Plan of Merger, as it may be amended or supplemented from time to time (the “Teamshares Merger Agreement”), with (i) the Merger Subs, (iii) Teamshares Inc., a Delaware corporation (“Teamshares”), (iv) the Sponsor, from and after the closing (the “Closing”) of the transactions contemplated by the Teamshares Merger Agreement (collectively, the “Teamshares Business Combination”), solely in its capacity as representative for the Company’s shareholders (other than the Teamshares security holders and their respective successors and assigns) for the limited purposes set forth in the Teamshares Merger Agreement and (v) Brian Gaebe, in the capacity as the representative from and after the Closing of the Earnout Participants (as defined in the Teamshares Merger Agreement) and their respective successors and assignees in accordance with the terms and conditions of the Merger Agreement. Teamshares is a tech-enabled acquiror of high-quality businesses, intending to be a permanent home for businesses. Part holding company, part financial technology, Teamshares programmatically acquires companies with $0.5 to $5 million of earnings before interest, taxes, depreciation, and amortization from retiring owners, integrates them with the Teamshares platform, and helps employees earn company stock. Founded in 2019, Teamshares operates subsidiaries with consolidated revenue of over $400 million across over 40 industries and 30 states.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Teamshares Merger Agreement, subject to the terms and conditions set forth therein, (i) prior to the Closing, the Company will continue out of the Cayman Islands and into the State of Delaware and domesticate as a Delaware corporation (the “Domestication”), (ii) at the Closing, Merger Sub will merge with and into Teamshares (the “First Merger”) with Teamshares surviving such merger as a wholly owned subsidiary of the Company (the “Surviving Corporation”) and (iii) immediately following the First Merger and as part of the same overall transaction as the First Merger, the Surviving Corporation will merge with and into Merger Sub II (the “Second Merger” and together with the First Merger, the “Mergers”) and as a result of which (a) all of the issued and outstanding capital stock of Teamshares as of immediately prior to the First Merger shall no longer be outstanding and shall automatically be cancelled and shall cease to exist, in exchange for the right of each Teamshares stockholder to receive its pro rata share of the Stockholder Merger Consideration (as defined below) and each Earnout Participant to receive their Earnout Shares (as defined in the Teamshares Merger Agreement) and (b) the in-the-money Teamshares options shall be assumed (with equitable adjustments to the number and exercise price of such Teamshares options) and replaced with options exercisable into shares of the Company’s common stock, all upon the terms and subject to the conditions set forth in the Teamshares Merger Agreement and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Teamshares Merger Agreement provides that the total consideration received by the Teamshares security holders from the Company at the Closing will be a number of shares of the Company’s common stock with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aggregate value equal to the sum of (i) Five Hundred and Twenty-Five Million Dollars ($525,000,000) plus (ii) the Interim Period Financing (as defined in the Teamshares Merger Agreement), if any, that has converted into Teamshares common stock, (the “Merger Consideration”), with each share of the Company’s common stock valued at $10.00 (with the total portion of the Merger Consideration amount payable to all Teamshares stockholders in accordance with the Teamshares Merger Agreement, the “Stockholder Merger Consideration”). All Teamshares warrants, convertible debt, underwater options and other convertible securities outstanding and not exercised or converted prior to the Closing will be terminated as of the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Capital Resources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 Company had cash and cash equivalents of $1,329,433. The Company uses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 including the Teamshares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order to finance transaction costs in connection with a Business Combination, the Sponsor or an affiliate of the Sponsor or certain of the Company’s officers and directors may, but are not obligated to, loan the Company funds as may be required (the “Working Capital Loans”).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Up to $1,500,000 of such Working Capital Loans may be convertible into warrants of the post-Business Combination entity at a price of $1.00 per warrant at the option of the lender. The warrants would be identical to the Private Placement Warrants. As of December 31, 2025, no such Working Capital Loans were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need to raise additional capital through loans or additional investments from the Sponsor or its officers, directors or their affiliates, However,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Company’s assessment of going concern, the Company has until March 3, 2027 (since the Company has executed a definitive agreement for an initial Business Combination by December 3, 2026) to consummate a Business Combination. It is uncertain whether the Company will be able to consummate a Business Combination by this time. If a Business Combination is not consummated by this date, there will be a mandatory liquidation and subsequent dissolution of the Company. Management has determined that the liquidity condition and mandatory liquidation should a Business Combination not occur, and potential subsequent dissolution raises substantial doubt about the Company’s ability to continue as a going concern. Management intends to consummate a Business Combination prior to March 3, 2027 (since the Company has executed a definitive agreement for an initial Business Combination by December 3, 2026). No adjustments have been made to the carrying amounts of assets or liabilities should the Company be required to liquidate after the end of the Combination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are presented in U.S. dollars and have been prepared in accordance with accounting principles generally accepted in the United States of America (“GAAP”) and pursuant to the accounting and disclosure rules and regulations of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include the accounts of the Company and its wholly owned subsidiaries. All significant intercompany balances and transactions have been eliminated in consolidation.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as amended,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accompanying consolidated financial statements with another public company that is neither an (i) emerging growth company nor (ii) emerging growth company that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accompanying consolidated financial statements in conformity with GAAP requires Management to make estimates and assumptions that affect the reported amounts of assets and liabilities and disclosure of contingent assets and liabilities at the date of the accompanying consolidated financial statements. Actual results could differ from those estimates. </w:t>
      </w:r>
    </w:p>
    <w:p>
      <w:pPr>
        <w:pStyle w:val="TextBody"/>
        <w:bidi w:val="0"/>
        <w:spacing w:before="240" w:after="0"/>
        <w:jc w:val="left"/>
        <w:rPr>
          <w:rFonts w:ascii="Times New Roman" w:hAnsi="Times New Roman"/>
          <w:sz w:val="20"/>
        </w:rPr>
      </w:pPr>
      <w:r>
        <w:rPr>
          <w:rFonts w:ascii="Times New Roman" w:hAnsi="Times New Roman"/>
          <w:sz w:val="20"/>
        </w:rPr>
        <w:t xml:space="preserve">Making estimates requires Management to exercise significant judgment. It is at least reasonably possible that the estimate of the effect of a condition, situation or set of circumstances that existed at the date of the accompanying consolidated financial statements, which Management considered in formulating its estimate, could change in the near term due to one or more future confirming events. Accordingly, the actual results could differ significantly from those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Cash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short-term investments with an original maturity of three months or less when purchased to be cash. The Company had $1,329,433 and $0 in cash as of December 31, 2025 and 2024,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Marketable Securities Held in Trust Account </w:t>
      </w:r>
    </w:p>
    <w:p>
      <w:pPr>
        <w:pStyle w:val="TextBody"/>
        <w:bidi w:val="0"/>
        <w:spacing w:before="120" w:after="0"/>
        <w:jc w:val="left"/>
        <w:rPr>
          <w:rFonts w:ascii="Times New Roman" w:hAnsi="Times New Roman"/>
          <w:sz w:val="20"/>
        </w:rPr>
      </w:pPr>
      <w:r>
        <w:rPr>
          <w:rFonts w:ascii="Times New Roman" w:hAnsi="Times New Roman"/>
          <w:sz w:val="20"/>
        </w:rPr>
        <w:t xml:space="preserve">The Company’s portfolio of investments is comprised of cash and Treasury securities, within the meaning set forth in Section 2(a)(16) of the Investment Company Act, with a maturity of 185 days or less, or investments in money market funds that invest in Treasury securities and generally have a readily determinable fair value, or a combination thereof. When the Company’s investments held in the Trust Account are comprised of Treasury securities, the investments are classified as trading securities, which are presented at fair value. Gains and losses resulting from the change in fair value of these securities are included in interest earned on marketable securities held in Trust Account in the accompanying consolidated statements of operations. The estimated fair values of investments held in the Trust Account are determined using available market information. As of December 31, 2025, the assets held in the Trust Account of $239,042,295 were held in money market funds. As of December 31, 2024, there were no assets held in the Trust Account.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Concentrations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a significant concentration of credit risk consist primarily of cash. Periodically, the Company may maintain deposits in financial institutions in excess of government insured limits. Any loss incurred or a lack of access to such funds could have a significant adverse impact on the Company’s financial condition,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Offering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the requirements of the FASB ASC Topic 340-10-S99, “Accounting for Offering Costs”, and SEC Staff Accounting Bulletin Topic 5A, “Expenses of Offering.” Offering costs consist principally of professional and registration fees that are related to the Initial Public Offering. FASB ASC Topic 470-20, “Debt with Conversion and Other Options,” addresses the allocation of proceeds from the issuance of convertible debt into its equity and debt components. The Company applied this guidance to allocate Initial Public Offering proceeds from the Units between Public Shares and Public Warrants, using the residual method by allocating Initial Public Offering proceeds first to assigned value of the Public Warrants and then to the Public Shares. Offering costs allocated to the Public Shares were charged to temporary equity. Offering costs allocated to the Warrants were charged to shareholders’ deficit. After Management’s evaluation, the Warrants were accounted for under equity treatment.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amounted to $7,723,148, consisting of $250,000 of cash underwriting fee, the Deferred Fee of $6,900,000 and $573,148 of other offering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assets and liabilities, which qualify as financial instruments under FASB ASC Topic 820, “Fair Value Measurements and Disclosures,” approximates the carrying amounts represented in the accompanying consolidated balance sheets, primarily due to their short-term 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FASB ASC Topic 740, “Income Taxes” (“ASC 740”), which requires an asset and liability approach to financial accounting and reporting for income taxes. Deferred income tax assets and liabilities are computed for differences between the accompanying consolidated financial statements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w:t>
      </w:r>
    </w:p>
    <w:p>
      <w:pPr>
        <w:pStyle w:val="TextBody"/>
        <w:bidi w:val="0"/>
        <w:spacing w:before="240" w:after="0"/>
        <w:jc w:val="left"/>
        <w:rPr>
          <w:rFonts w:ascii="Times New Roman" w:hAnsi="Times New Roman"/>
          <w:sz w:val="20"/>
        </w:rPr>
      </w:pPr>
      <w:r>
        <w:rPr>
          <w:rFonts w:ascii="Times New Roman" w:hAnsi="Times New Roman"/>
          <w:sz w:val="20"/>
        </w:rPr>
        <w:t xml:space="preserve">ASC 740 prescribes a recognition threshold and a measurement attribute for the accompanying consolidated financial statements recognition and measurement of tax positions taken or expected to be taken in a tax return. For those benefits to be recognized, a tax position must be more likely than not to be sustained upon examination by taxing authorities. Management determined that the Cayman Islands is the Company’s major tax jurisdiction. The Company recognizes accrued interest and penalties related to unrecognized tax benefits as income tax expense. As of December 31, 2025 and 2024, there were no unrecognized tax benefits and no amounts accrued for interest and penalties. The Company is currently not aware of any issues under review that could result in significant payments, accruals or material deviation from its 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accounted for the Warrants issued in connection with the Initial Public Offering and the Private Placement in accordance with the guidance contained in FASB ASC Topic 815, “Derivatives and Hedging”. Accordingly, the Company evaluated and classified the Warrant instruments under equity treatment at their assigned values. </w:t>
      </w:r>
    </w:p>
    <w:p>
      <w:pPr>
        <w:pStyle w:val="TextBody"/>
        <w:bidi w:val="0"/>
        <w:spacing w:before="240" w:after="0"/>
        <w:jc w:val="left"/>
        <w:rPr>
          <w:rFonts w:ascii="Times New Roman" w:hAnsi="Times New Roman"/>
          <w:sz w:val="20"/>
        </w:rPr>
      </w:pPr>
      <w:r>
        <w:rPr>
          <w:rFonts w:ascii="Times New Roman" w:hAnsi="Times New Roman"/>
          <w:sz w:val="20"/>
        </w:rPr>
        <w:t xml:space="preserve">As of March 3, 2025, the fair value of the Public Warrants was $2,185,000, or $0.19 per Public Warrant. The fair value of Public Warrants was determined using the Monte Carlo Simulation Model. The Public Warrants have been classified within shareholders’ equity (deficit) and will not require remeasurement after issuance. The following table presents the quantitative information regarding market assumptions used in the level 3 valuation of the Public Warrants: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88"/>
        <w:gridCol w:w="601"/>
        <w:gridCol w:w="190"/>
        <w:gridCol w:w="780"/>
        <w:gridCol w:w="280"/>
      </w:tblGrid>
      <w:tr>
        <w:trPr/>
        <w:tc>
          <w:tcPr>
            <w:tcW w:w="5088"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088"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w:t>
              <w:br/>
              <w:t>2025</w:t>
            </w:r>
          </w:p>
        </w:tc>
        <w:tc>
          <w:tcPr>
            <w:tcW w:w="280" w:type="dxa"/>
            <w:tcBorders/>
            <w:vAlign w:val="bottom"/>
          </w:tcPr>
          <w:p>
            <w:pPr>
              <w:pStyle w:val="TableContents"/>
              <w:bidi w:val="0"/>
              <w:spacing w:before="0" w:after="283"/>
              <w:jc w:val="left"/>
              <w:rPr/>
            </w:pPr>
            <w:r>
              <w:rPr/>
              <w:t> </w:t>
            </w:r>
          </w:p>
        </w:tc>
      </w:tr>
      <w:tr>
        <w:trPr/>
        <w:tc>
          <w:tcPr>
            <w:tcW w:w="5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Implied Class A Ordinary Share price</w:t>
            </w:r>
          </w:p>
        </w:tc>
        <w:tc>
          <w:tcPr>
            <w:tcW w:w="6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80" w:type="dxa"/>
            <w:tcBorders/>
            <w:shd w:fill="CCEEFF" w:val="clear"/>
            <w:vAlign w:val="bottom"/>
          </w:tcPr>
          <w:p>
            <w:pPr>
              <w:pStyle w:val="TableContents"/>
              <w:bidi w:val="0"/>
              <w:spacing w:before="0" w:after="283"/>
              <w:jc w:val="right"/>
              <w:rPr/>
            </w:pPr>
            <w:r>
              <w:rPr/>
              <w:t>9.91</w:t>
            </w:r>
          </w:p>
        </w:tc>
        <w:tc>
          <w:tcPr>
            <w:tcW w:w="280" w:type="dxa"/>
            <w:tcBorders/>
            <w:shd w:fill="CCEEFF" w:val="clear"/>
            <w:vAlign w:val="bottom"/>
          </w:tcPr>
          <w:p>
            <w:pPr>
              <w:pStyle w:val="TableContents"/>
              <w:bidi w:val="0"/>
              <w:spacing w:before="0" w:after="283"/>
              <w:jc w:val="left"/>
              <w:rPr/>
            </w:pPr>
            <w:r>
              <w:rPr/>
              <w:t> </w:t>
            </w:r>
          </w:p>
        </w:tc>
      </w:tr>
      <w:tr>
        <w:trPr/>
        <w:tc>
          <w:tcPr>
            <w:tcW w:w="5088" w:type="dxa"/>
            <w:tcBorders/>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6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780" w:type="dxa"/>
            <w:tcBorders/>
            <w:vAlign w:val="bottom"/>
          </w:tcPr>
          <w:p>
            <w:pPr>
              <w:pStyle w:val="TableContents"/>
              <w:bidi w:val="0"/>
              <w:spacing w:before="0" w:after="283"/>
              <w:jc w:val="right"/>
              <w:rPr/>
            </w:pPr>
            <w:r>
              <w:rPr/>
              <w:t>11.50</w:t>
            </w:r>
          </w:p>
        </w:tc>
        <w:tc>
          <w:tcPr>
            <w:tcW w:w="280" w:type="dxa"/>
            <w:tcBorders/>
            <w:vAlign w:val="bottom"/>
          </w:tcPr>
          <w:p>
            <w:pPr>
              <w:pStyle w:val="TableContents"/>
              <w:bidi w:val="0"/>
              <w:spacing w:before="0" w:after="283"/>
              <w:jc w:val="left"/>
              <w:rPr/>
            </w:pPr>
            <w:r>
              <w:rPr/>
              <w:t> </w:t>
            </w:r>
          </w:p>
        </w:tc>
      </w:tr>
      <w:tr>
        <w:trPr/>
        <w:tc>
          <w:tcPr>
            <w:tcW w:w="5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Simulation term (years)</w:t>
            </w:r>
          </w:p>
        </w:tc>
        <w:tc>
          <w:tcPr>
            <w:tcW w:w="6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w:t>
            </w:r>
          </w:p>
        </w:tc>
        <w:tc>
          <w:tcPr>
            <w:tcW w:w="280" w:type="dxa"/>
            <w:tcBorders/>
            <w:shd w:fill="CCEEFF" w:val="clear"/>
            <w:vAlign w:val="bottom"/>
          </w:tcPr>
          <w:p>
            <w:pPr>
              <w:pStyle w:val="TableContents"/>
              <w:bidi w:val="0"/>
              <w:spacing w:before="0" w:after="283"/>
              <w:jc w:val="left"/>
              <w:rPr/>
            </w:pPr>
            <w:r>
              <w:rPr/>
              <w:t> </w:t>
            </w:r>
          </w:p>
        </w:tc>
      </w:tr>
      <w:tr>
        <w:trPr/>
        <w:tc>
          <w:tcPr>
            <w:tcW w:w="5088" w:type="dxa"/>
            <w:tcBorders/>
          </w:tcPr>
          <w:p>
            <w:pPr>
              <w:pStyle w:val="TableContents"/>
              <w:bidi w:val="0"/>
              <w:spacing w:before="0" w:after="0"/>
              <w:jc w:val="left"/>
              <w:rPr>
                <w:rFonts w:ascii="Times New Roman" w:hAnsi="Times New Roman"/>
                <w:sz w:val="20"/>
              </w:rPr>
            </w:pPr>
            <w:r>
              <w:rPr>
                <w:rFonts w:ascii="Times New Roman" w:hAnsi="Times New Roman"/>
                <w:sz w:val="20"/>
              </w:rPr>
              <w:t>Risk-free rate (continuous)</w:t>
            </w:r>
          </w:p>
        </w:tc>
        <w:tc>
          <w:tcPr>
            <w:tcW w:w="6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4.02</w:t>
            </w:r>
          </w:p>
        </w:tc>
        <w:tc>
          <w:tcPr>
            <w:tcW w:w="280" w:type="dxa"/>
            <w:tcBorders/>
            <w:vAlign w:val="bottom"/>
          </w:tcPr>
          <w:p>
            <w:pPr>
              <w:pStyle w:val="TableContents"/>
              <w:bidi w:val="0"/>
              <w:spacing w:before="0" w:after="283"/>
              <w:jc w:val="left"/>
              <w:rPr/>
            </w:pPr>
            <w:r>
              <w:rPr/>
              <w:t>% </w:t>
            </w:r>
          </w:p>
        </w:tc>
      </w:tr>
      <w:tr>
        <w:trPr/>
        <w:tc>
          <w:tcPr>
            <w:tcW w:w="5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Selected volatility</w:t>
            </w:r>
          </w:p>
        </w:tc>
        <w:tc>
          <w:tcPr>
            <w:tcW w:w="6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2.5</w:t>
            </w:r>
          </w:p>
        </w:tc>
        <w:tc>
          <w:tcPr>
            <w:tcW w:w="280" w:type="dxa"/>
            <w:tcBorders/>
            <w:shd w:fill="CCEEFF" w:val="clear"/>
            <w:vAlign w:val="bottom"/>
          </w:tcPr>
          <w:p>
            <w:pPr>
              <w:pStyle w:val="TableContents"/>
              <w:bidi w:val="0"/>
              <w:spacing w:before="0" w:after="283"/>
              <w:jc w:val="left"/>
              <w:rPr/>
            </w:pPr>
            <w:r>
              <w:rPr/>
              <w:t>% </w:t>
            </w:r>
          </w:p>
        </w:tc>
      </w:tr>
      <w:tr>
        <w:trPr/>
        <w:tc>
          <w:tcPr>
            <w:tcW w:w="5088" w:type="dxa"/>
            <w:tcBorders/>
          </w:tcPr>
          <w:p>
            <w:pPr>
              <w:pStyle w:val="TableContents"/>
              <w:bidi w:val="0"/>
              <w:spacing w:before="0" w:after="0"/>
              <w:jc w:val="left"/>
              <w:rPr>
                <w:rFonts w:ascii="Times New Roman" w:hAnsi="Times New Roman"/>
                <w:sz w:val="20"/>
              </w:rPr>
            </w:pPr>
            <w:r>
              <w:rPr>
                <w:rFonts w:ascii="Times New Roman" w:hAnsi="Times New Roman"/>
                <w:sz w:val="20"/>
              </w:rPr>
              <w:t>Probability of de-SPAC and market adjustment</w:t>
            </w:r>
          </w:p>
        </w:tc>
        <w:tc>
          <w:tcPr>
            <w:tcW w:w="6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15.0</w:t>
            </w:r>
          </w:p>
        </w:tc>
        <w:tc>
          <w:tcPr>
            <w:tcW w:w="280"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PIPE Subscription Agreements Liability </w:t>
      </w:r>
    </w:p>
    <w:p>
      <w:pPr>
        <w:pStyle w:val="TextBody"/>
        <w:bidi w:val="0"/>
        <w:spacing w:before="120" w:after="0"/>
        <w:jc w:val="left"/>
        <w:rPr>
          <w:rFonts w:ascii="Times New Roman" w:hAnsi="Times New Roman"/>
          <w:sz w:val="20"/>
        </w:rPr>
      </w:pPr>
      <w:r>
        <w:rPr>
          <w:rFonts w:ascii="Times New Roman" w:hAnsi="Times New Roman"/>
          <w:sz w:val="20"/>
        </w:rPr>
        <w:t xml:space="preserve">Contemporaneously with the execution of the Teamshares Merger Agreement, certain investors each entered into a private investment in public equity (“PIPE”) subscription agreement (collectively, the “PIPE Subscription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Agreements”) with the Company in connection with the proposed Teamshares Business Combination. The Company accounts for each PIPE Subscription Agreement as a derivative instrument in accordance with the guidance in FASB ASC Topic 815-40, “Contracts in Entity’s Own Equity” (“ASC 815-40”). The instrument is subject to re-measurement at each balance sheet date, with changes in fair value recognized in the accompanying consolidated statements of operations. As of December 31, 2025 and 2024, the fair value of the PIPE Subscription Agreements liability was $15,274,088 and $0,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A Ordinary Shares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Public Shares contain a redemption feature that allows for the redemption of such Public Shares in connection with the Company’s liquidation, or if there is a shareholder vote or tender offer in connection with the initial Business Combination. In accordance with FASB ASC Topic 480-10-S99, “Distinguishing Liabilities from Equity,” the Company classifies Class A Ordinary Shares subject to possible redemption outside of permanent equity as the redemption provisions are not solely within the control of the Company. The Company recognizes changes in redemption value immediately as they occur and will adjust the carrying value of redeemable shares to equal the redemption value at the end of each reporting period. Immediately upon the closing of the Initial Public Offering, the Company recognized the accretion from initial book value to redemption amount value. The change in the carrying value of redeemable Class A Ordinary Shares resulted in charges against additional paid-in capital (to the extent available) and an accumulated deficit. Accordingly, as of December 31, 2025 and 2024, Class A Ordinary Shares subject to possible redemption are presented at redemption value as temporary equity, outside of the shareholders’ equity (deficit) section of the accompanying consolidated balance sheets. As of December 31, 2025 and 2024, the Class A Ordinary Shares subject to possible redemption reflected in the accompanying consolidated balance sheets are reconciled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74"/>
        <w:gridCol w:w="434"/>
        <w:gridCol w:w="144"/>
        <w:gridCol w:w="1428"/>
        <w:gridCol w:w="159"/>
      </w:tblGrid>
      <w:tr>
        <w:trPr/>
        <w:tc>
          <w:tcPr>
            <w:tcW w:w="4774" w:type="dxa"/>
            <w:tcBorders/>
            <w:vAlign w:val="center"/>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proceeds</w:t>
            </w:r>
          </w:p>
        </w:tc>
        <w:tc>
          <w:tcPr>
            <w:tcW w:w="43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428" w:type="dxa"/>
            <w:tcBorders/>
            <w:shd w:fill="CCEEFF" w:val="clear"/>
            <w:vAlign w:val="bottom"/>
          </w:tcPr>
          <w:p>
            <w:pPr>
              <w:pStyle w:val="TableContents"/>
              <w:bidi w:val="0"/>
              <w:spacing w:before="0" w:after="283"/>
              <w:jc w:val="right"/>
              <w:rPr/>
            </w:pPr>
            <w:r>
              <w:rPr/>
              <w:t>230,000,000</w:t>
            </w:r>
          </w:p>
        </w:tc>
        <w:tc>
          <w:tcPr>
            <w:tcW w:w="159" w:type="dxa"/>
            <w:tcBorders/>
            <w:shd w:fill="CCEEFF" w:val="clear"/>
            <w:vAlign w:val="bottom"/>
          </w:tcPr>
          <w:p>
            <w:pPr>
              <w:pStyle w:val="TableContents"/>
              <w:bidi w:val="0"/>
              <w:spacing w:before="0" w:after="283"/>
              <w:jc w:val="left"/>
              <w:rPr/>
            </w:pPr>
            <w:r>
              <w:rPr/>
              <w:t> </w:t>
            </w:r>
          </w:p>
        </w:tc>
      </w:tr>
      <w:tr>
        <w:trPr/>
        <w:tc>
          <w:tcPr>
            <w:tcW w:w="4774"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43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42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allocated to Public Warrants</w:t>
            </w:r>
          </w:p>
        </w:tc>
        <w:tc>
          <w:tcPr>
            <w:tcW w:w="43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(2,185,000</w:t>
            </w:r>
          </w:p>
        </w:tc>
        <w:tc>
          <w:tcPr>
            <w:tcW w:w="159" w:type="dxa"/>
            <w:tcBorders/>
            <w:shd w:fill="CCEEFF" w:val="clear"/>
            <w:vAlign w:val="bottom"/>
          </w:tcPr>
          <w:p>
            <w:pPr>
              <w:pStyle w:val="TableContents"/>
              <w:bidi w:val="0"/>
              <w:spacing w:before="0" w:after="283"/>
              <w:jc w:val="left"/>
              <w:rPr/>
            </w:pPr>
            <w:r>
              <w:rPr/>
              <w:t>) </w:t>
            </w:r>
          </w:p>
        </w:tc>
      </w:tr>
      <w:tr>
        <w:trPr/>
        <w:tc>
          <w:tcPr>
            <w:tcW w:w="4774"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issuance costs</w:t>
            </w:r>
          </w:p>
        </w:tc>
        <w:tc>
          <w:tcPr>
            <w:tcW w:w="43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(7,638,884</w:t>
            </w:r>
          </w:p>
        </w:tc>
        <w:tc>
          <w:tcPr>
            <w:tcW w:w="159" w:type="dxa"/>
            <w:tcBorders/>
            <w:vAlign w:val="bottom"/>
          </w:tcPr>
          <w:p>
            <w:pPr>
              <w:pStyle w:val="TableContents"/>
              <w:bidi w:val="0"/>
              <w:spacing w:before="0" w:after="283"/>
              <w:jc w:val="left"/>
              <w:rPr/>
            </w:pPr>
            <w:r>
              <w:rPr/>
              <w:t>) </w:t>
            </w:r>
          </w:p>
        </w:tc>
      </w:tr>
      <w:tr>
        <w:trPr/>
        <w:tc>
          <w:tcPr>
            <w:tcW w:w="4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43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42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774" w:type="dxa"/>
            <w:tcBorders/>
          </w:tcPr>
          <w:p>
            <w:pPr>
              <w:pStyle w:val="TableContents"/>
              <w:bidi w:val="0"/>
              <w:spacing w:before="0" w:after="0"/>
              <w:jc w:val="left"/>
              <w:rPr>
                <w:rFonts w:ascii="Times New Roman" w:hAnsi="Times New Roman"/>
                <w:sz w:val="20"/>
              </w:rPr>
            </w:pPr>
            <w:r>
              <w:rPr>
                <w:rFonts w:ascii="Times New Roman" w:hAnsi="Times New Roman"/>
                <w:sz w:val="20"/>
              </w:rPr>
              <w:t>Remeasurement of carrying value to redemption value</w:t>
            </w:r>
          </w:p>
        </w:tc>
        <w:tc>
          <w:tcPr>
            <w:tcW w:w="43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18,866,179</w:t>
            </w:r>
          </w:p>
        </w:tc>
        <w:tc>
          <w:tcPr>
            <w:tcW w:w="159" w:type="dxa"/>
            <w:tcBorders/>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 December 31, 2025</w:t>
            </w:r>
          </w:p>
        </w:tc>
        <w:tc>
          <w:tcPr>
            <w:tcW w:w="43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428" w:type="dxa"/>
            <w:tcBorders/>
            <w:shd w:fill="CCEEFF" w:val="clear"/>
            <w:vAlign w:val="bottom"/>
          </w:tcPr>
          <w:p>
            <w:pPr>
              <w:pStyle w:val="TableContents"/>
              <w:bidi w:val="0"/>
              <w:spacing w:before="0" w:after="283"/>
              <w:jc w:val="right"/>
              <w:rPr/>
            </w:pPr>
            <w:r>
              <w:rPr/>
              <w:t>239,042,295</w:t>
            </w:r>
          </w:p>
        </w:tc>
        <w:tc>
          <w:tcPr>
            <w:tcW w:w="159" w:type="dxa"/>
            <w:tcBorders/>
            <w:shd w:fill="CCEEFF" w:val="clear"/>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42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Ordinary Share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accounting and disclosure requirements of FASB ASC Topic 260, “Earnings Per Share.” The Company has two classes of Ordinary Shares, Class A Ordinary Shares and Class B Ordinary Shares (as defined in Note 5). Income and losses are shared pro rata between the two classes of Ordinary Shares. This presentation assumes a Business Combination as the most likely outcome. Net loss per Ordinary Share is calculated by dividing the net loss by the weighted average Ordinary Shares outstanding for the respective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tables reflects the calculation of basic and diluted net loss per Ordinary Share (in dollars, except per share amounts):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33"/>
        <w:gridCol w:w="311"/>
        <w:gridCol w:w="140"/>
        <w:gridCol w:w="1243"/>
        <w:gridCol w:w="155"/>
        <w:gridCol w:w="311"/>
        <w:gridCol w:w="140"/>
        <w:gridCol w:w="1104"/>
        <w:gridCol w:w="155"/>
        <w:gridCol w:w="311"/>
        <w:gridCol w:w="215"/>
        <w:gridCol w:w="598"/>
        <w:gridCol w:w="60"/>
        <w:gridCol w:w="311"/>
        <w:gridCol w:w="155"/>
        <w:gridCol w:w="1087"/>
        <w:gridCol w:w="159"/>
      </w:tblGrid>
      <w:tr>
        <w:trPr/>
        <w:tc>
          <w:tcPr>
            <w:tcW w:w="2933"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3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30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2025</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4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November 27, 2024</w:t>
              <w:br/>
              <w:t>(Inception) Through</w:t>
              <w:br/>
              <w:t>December 31, 2024</w:t>
            </w:r>
          </w:p>
        </w:tc>
        <w:tc>
          <w:tcPr>
            <w:tcW w:w="159" w:type="dxa"/>
            <w:tcBorders/>
            <w:vAlign w:val="bottom"/>
          </w:tcPr>
          <w:p>
            <w:pPr>
              <w:pStyle w:val="TableContents"/>
              <w:bidi w:val="0"/>
              <w:spacing w:before="0" w:after="283"/>
              <w:jc w:val="left"/>
              <w:rPr/>
            </w:pPr>
            <w:r>
              <w:rPr/>
              <w:t> </w:t>
            </w:r>
          </w:p>
        </w:tc>
      </w:tr>
      <w:tr>
        <w:trPr/>
        <w:tc>
          <w:tcPr>
            <w:tcW w:w="293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8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159" w:type="dxa"/>
            <w:tcBorders/>
            <w:vAlign w:val="bottom"/>
          </w:tcPr>
          <w:p>
            <w:pPr>
              <w:pStyle w:val="TableContents"/>
              <w:bidi w:val="0"/>
              <w:spacing w:before="0" w:after="283"/>
              <w:jc w:val="left"/>
              <w:rPr/>
            </w:pPr>
            <w:r>
              <w:rPr/>
              <w:t> </w:t>
            </w:r>
          </w:p>
        </w:tc>
      </w:tr>
      <w:tr>
        <w:trPr/>
        <w:tc>
          <w:tcPr>
            <w:tcW w:w="2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net loss per share:</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5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2933"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2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 of net loss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(12,751,322</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(3,744,059</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(18,571</w:t>
            </w:r>
          </w:p>
        </w:tc>
        <w:tc>
          <w:tcPr>
            <w:tcW w:w="159" w:type="dxa"/>
            <w:tcBorders/>
            <w:shd w:fill="CCEEFF" w:val="clear"/>
            <w:vAlign w:val="bottom"/>
          </w:tcPr>
          <w:p>
            <w:pPr>
              <w:pStyle w:val="TableContents"/>
              <w:bidi w:val="0"/>
              <w:spacing w:before="0" w:after="283"/>
              <w:jc w:val="left"/>
              <w:rPr/>
            </w:pPr>
            <w:r>
              <w:rPr/>
              <w:t>) </w:t>
            </w:r>
          </w:p>
        </w:tc>
      </w:tr>
      <w:tr>
        <w:trPr/>
        <w:tc>
          <w:tcPr>
            <w:tcW w:w="2933"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2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weighted average Ordinary Shares outstanding</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19,156,164</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5,624,658</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5,000,000</w:t>
            </w:r>
          </w:p>
        </w:tc>
        <w:tc>
          <w:tcPr>
            <w:tcW w:w="159" w:type="dxa"/>
            <w:tcBorders/>
            <w:shd w:fill="CCEEFF" w:val="clear"/>
            <w:vAlign w:val="bottom"/>
          </w:tcPr>
          <w:p>
            <w:pPr>
              <w:pStyle w:val="TableContents"/>
              <w:bidi w:val="0"/>
              <w:spacing w:before="0" w:after="283"/>
              <w:jc w:val="left"/>
              <w:rPr/>
            </w:pPr>
            <w:r>
              <w:rPr/>
              <w:t> </w:t>
            </w:r>
          </w:p>
        </w:tc>
      </w:tr>
      <w:tr>
        <w:trPr/>
        <w:tc>
          <w:tcPr>
            <w:tcW w:w="293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93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net loss per Ordinary Share</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43" w:type="dxa"/>
            <w:tcBorders/>
            <w:vAlign w:val="bottom"/>
          </w:tcPr>
          <w:p>
            <w:pPr>
              <w:pStyle w:val="TableContents"/>
              <w:bidi w:val="0"/>
              <w:spacing w:before="0" w:after="283"/>
              <w:jc w:val="right"/>
              <w:rPr>
                <w:b/>
              </w:rPr>
            </w:pPr>
            <w:r>
              <w:rPr>
                <w:b/>
              </w:rPr>
              <w:t>(0.67</w:t>
            </w:r>
          </w:p>
        </w:tc>
        <w:tc>
          <w:tcPr>
            <w:tcW w:w="155" w:type="dxa"/>
            <w:tcBorders/>
            <w:vAlign w:val="bottom"/>
          </w:tcPr>
          <w:p>
            <w:pPr>
              <w:pStyle w:val="TableContents"/>
              <w:bidi w:val="0"/>
              <w:spacing w:before="0" w:after="283"/>
              <w:jc w:val="left"/>
              <w:rPr>
                <w:b/>
              </w:rPr>
            </w:pPr>
            <w:r>
              <w:rPr>
                <w:b/>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(0.67</w:t>
            </w:r>
          </w:p>
        </w:tc>
        <w:tc>
          <w:tcPr>
            <w:tcW w:w="155" w:type="dxa"/>
            <w:tcBorders/>
            <w:vAlign w:val="bottom"/>
          </w:tcPr>
          <w:p>
            <w:pPr>
              <w:pStyle w:val="TableContents"/>
              <w:bidi w:val="0"/>
              <w:spacing w:before="0" w:after="283"/>
              <w:jc w:val="left"/>
              <w:rPr>
                <w:b/>
              </w:rPr>
            </w:pPr>
            <w:r>
              <w:rPr>
                <w:b/>
              </w:rPr>
              <w:t>) </w:t>
            </w:r>
          </w:p>
        </w:tc>
        <w:tc>
          <w:tcPr>
            <w:tcW w:w="31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5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b/>
              </w:rPr>
            </w:pPr>
            <w:r>
              <w:rPr>
                <w:b/>
              </w:rPr>
              <w:t>$</w:t>
            </w:r>
          </w:p>
        </w:tc>
        <w:tc>
          <w:tcPr>
            <w:tcW w:w="1087" w:type="dxa"/>
            <w:tcBorders/>
            <w:vAlign w:val="bottom"/>
          </w:tcPr>
          <w:p>
            <w:pPr>
              <w:pStyle w:val="TableContents"/>
              <w:bidi w:val="0"/>
              <w:spacing w:before="0" w:after="283"/>
              <w:jc w:val="right"/>
              <w:rPr>
                <w:b/>
              </w:rPr>
            </w:pPr>
            <w:r>
              <w:rPr>
                <w:b/>
              </w:rPr>
              <w:t>(0.00</w:t>
            </w:r>
          </w:p>
        </w:tc>
        <w:tc>
          <w:tcPr>
            <w:tcW w:w="159" w:type="dxa"/>
            <w:tcBorders/>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33"/>
        <w:gridCol w:w="311"/>
        <w:gridCol w:w="140"/>
        <w:gridCol w:w="1243"/>
        <w:gridCol w:w="155"/>
        <w:gridCol w:w="311"/>
        <w:gridCol w:w="140"/>
        <w:gridCol w:w="1104"/>
        <w:gridCol w:w="155"/>
        <w:gridCol w:w="311"/>
        <w:gridCol w:w="215"/>
        <w:gridCol w:w="598"/>
        <w:gridCol w:w="60"/>
        <w:gridCol w:w="311"/>
        <w:gridCol w:w="155"/>
        <w:gridCol w:w="1087"/>
        <w:gridCol w:w="159"/>
      </w:tblGrid>
      <w:tr>
        <w:trPr/>
        <w:tc>
          <w:tcPr>
            <w:tcW w:w="2933"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3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30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2025</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4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November 27, 2024</w:t>
              <w:br/>
              <w:t>(Inception) Through</w:t>
              <w:br/>
              <w:t>December 31, 2024</w:t>
            </w:r>
          </w:p>
        </w:tc>
        <w:tc>
          <w:tcPr>
            <w:tcW w:w="159" w:type="dxa"/>
            <w:tcBorders/>
            <w:vAlign w:val="bottom"/>
          </w:tcPr>
          <w:p>
            <w:pPr>
              <w:pStyle w:val="TableContents"/>
              <w:bidi w:val="0"/>
              <w:spacing w:before="0" w:after="283"/>
              <w:jc w:val="left"/>
              <w:rPr/>
            </w:pPr>
            <w:r>
              <w:rPr/>
              <w:t> </w:t>
            </w:r>
          </w:p>
        </w:tc>
      </w:tr>
      <w:tr>
        <w:trPr/>
        <w:tc>
          <w:tcPr>
            <w:tcW w:w="293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8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159" w:type="dxa"/>
            <w:tcBorders/>
            <w:vAlign w:val="bottom"/>
          </w:tcPr>
          <w:p>
            <w:pPr>
              <w:pStyle w:val="TableContents"/>
              <w:bidi w:val="0"/>
              <w:spacing w:before="0" w:after="283"/>
              <w:jc w:val="left"/>
              <w:rPr/>
            </w:pPr>
            <w:r>
              <w:rPr/>
              <w:t> </w:t>
            </w:r>
          </w:p>
        </w:tc>
      </w:tr>
      <w:tr>
        <w:trPr/>
        <w:tc>
          <w:tcPr>
            <w:tcW w:w="2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net loss per share:</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5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2933"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2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 of net loss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(12,687,150</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(3,808,232</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(18,571</w:t>
            </w:r>
          </w:p>
        </w:tc>
        <w:tc>
          <w:tcPr>
            <w:tcW w:w="159" w:type="dxa"/>
            <w:tcBorders/>
            <w:shd w:fill="CCEEFF" w:val="clear"/>
            <w:vAlign w:val="bottom"/>
          </w:tcPr>
          <w:p>
            <w:pPr>
              <w:pStyle w:val="TableContents"/>
              <w:bidi w:val="0"/>
              <w:spacing w:before="0" w:after="283"/>
              <w:jc w:val="left"/>
              <w:rPr/>
            </w:pPr>
            <w:r>
              <w:rPr/>
              <w:t>) </w:t>
            </w:r>
          </w:p>
        </w:tc>
      </w:tr>
      <w:tr>
        <w:trPr/>
        <w:tc>
          <w:tcPr>
            <w:tcW w:w="2933"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2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weighted average Ordinary Shares outstanding</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19,156,164</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5,750,000</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5,000,000</w:t>
            </w:r>
          </w:p>
        </w:tc>
        <w:tc>
          <w:tcPr>
            <w:tcW w:w="159" w:type="dxa"/>
            <w:tcBorders/>
            <w:shd w:fill="CCEEFF" w:val="clear"/>
            <w:vAlign w:val="bottom"/>
          </w:tcPr>
          <w:p>
            <w:pPr>
              <w:pStyle w:val="TableContents"/>
              <w:bidi w:val="0"/>
              <w:spacing w:before="0" w:after="283"/>
              <w:jc w:val="left"/>
              <w:rPr/>
            </w:pPr>
            <w:r>
              <w:rPr/>
              <w:t> </w:t>
            </w:r>
          </w:p>
        </w:tc>
      </w:tr>
      <w:tr>
        <w:trPr/>
        <w:tc>
          <w:tcPr>
            <w:tcW w:w="293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93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net loss per Ordinary Share</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43" w:type="dxa"/>
            <w:tcBorders/>
            <w:vAlign w:val="bottom"/>
          </w:tcPr>
          <w:p>
            <w:pPr>
              <w:pStyle w:val="TableContents"/>
              <w:bidi w:val="0"/>
              <w:spacing w:before="0" w:after="283"/>
              <w:jc w:val="right"/>
              <w:rPr>
                <w:b/>
              </w:rPr>
            </w:pPr>
            <w:r>
              <w:rPr>
                <w:b/>
              </w:rPr>
              <w:t>(0.66</w:t>
            </w:r>
          </w:p>
        </w:tc>
        <w:tc>
          <w:tcPr>
            <w:tcW w:w="155" w:type="dxa"/>
            <w:tcBorders/>
            <w:vAlign w:val="bottom"/>
          </w:tcPr>
          <w:p>
            <w:pPr>
              <w:pStyle w:val="TableContents"/>
              <w:bidi w:val="0"/>
              <w:spacing w:before="0" w:after="283"/>
              <w:jc w:val="left"/>
              <w:rPr>
                <w:b/>
              </w:rPr>
            </w:pPr>
            <w:r>
              <w:rPr>
                <w:b/>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(0.66</w:t>
            </w:r>
          </w:p>
        </w:tc>
        <w:tc>
          <w:tcPr>
            <w:tcW w:w="155" w:type="dxa"/>
            <w:tcBorders/>
            <w:vAlign w:val="bottom"/>
          </w:tcPr>
          <w:p>
            <w:pPr>
              <w:pStyle w:val="TableContents"/>
              <w:bidi w:val="0"/>
              <w:spacing w:before="0" w:after="283"/>
              <w:jc w:val="left"/>
              <w:rPr>
                <w:b/>
              </w:rPr>
            </w:pPr>
            <w:r>
              <w:rPr>
                <w:b/>
              </w:rPr>
              <w:t>) </w:t>
            </w:r>
          </w:p>
        </w:tc>
        <w:tc>
          <w:tcPr>
            <w:tcW w:w="31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5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b/>
              </w:rPr>
            </w:pPr>
            <w:r>
              <w:rPr>
                <w:b/>
              </w:rPr>
              <w:t>$</w:t>
            </w:r>
          </w:p>
        </w:tc>
        <w:tc>
          <w:tcPr>
            <w:tcW w:w="1087" w:type="dxa"/>
            <w:tcBorders/>
            <w:vAlign w:val="bottom"/>
          </w:tcPr>
          <w:p>
            <w:pPr>
              <w:pStyle w:val="TableContents"/>
              <w:bidi w:val="0"/>
              <w:spacing w:before="0" w:after="283"/>
              <w:jc w:val="right"/>
              <w:rPr>
                <w:b/>
              </w:rPr>
            </w:pPr>
            <w:r>
              <w:rPr>
                <w:b/>
              </w:rPr>
              <w:t>(0.00</w:t>
            </w:r>
          </w:p>
        </w:tc>
        <w:tc>
          <w:tcPr>
            <w:tcW w:w="159" w:type="dxa"/>
            <w:tcBorders/>
            <w:vAlign w:val="bottom"/>
          </w:tcPr>
          <w:p>
            <w:pPr>
              <w:pStyle w:val="TableContents"/>
              <w:bidi w:val="0"/>
              <w:spacing w:before="0" w:after="283"/>
              <w:jc w:val="left"/>
              <w:rPr>
                <w:b/>
              </w:rPr>
            </w:pPr>
            <w:r>
              <w:rPr>
                <w:b/>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In November 2024, the FASB issued Accounting Standards Update (“ASU”) Topic 2024-03, “Income Statement-Reporting Comprehensive Income-Expense Disaggregation Disclosures (Subtopic 220-40): Disaggregation of Income Statement Expenses” (“ASC 2024-03”), requiring public entities to disclose additional information about specific expense categories in the notes to the consolidated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before="240" w:after="0"/>
        <w:jc w:val="left"/>
        <w:rPr>
          <w:rFonts w:ascii="Times New Roman" w:hAnsi="Times New Roman"/>
          <w:sz w:val="20"/>
        </w:rPr>
      </w:pPr>
      <w:r>
        <w:rPr>
          <w:rFonts w:ascii="Times New Roman" w:hAnsi="Times New Roman"/>
          <w:sz w:val="20"/>
        </w:rPr>
        <w:t xml:space="preserve">Management does not believe that any other recently issued, but not effective, accounting standards, if currently adopted, would have a material effect on the accompanying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3.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In the Initial Public Offering, the Company sold 23,000,000 Units, which included the full exercise of the Over-Allotment Option of 3,000,000 Option Units, at a purchase price of $10.00 per Unit. Each Unit consists of one Class A Ordinary Share, and one-half of one Public Warrant. Each whole Public Warrant entitles the holder to purchase one Class A Ordinary Share at a price of $11.50 per share, subject to adjustment. Each Public Warrant will become exercisable 30 days after the completion of the initial Business Combination and will expire five years after the completion of the initial Business Combination, or earlier upon redemption or liquidation.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4.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an aggregate of 4,500,000 Private Placement Warrants at a price of $1.00 per Private Placement Warrant in a private placement to the Sponsor, generating gross proceeds of $4,500,000. Each whole warrant entitles the registered holder to purchase one Class A Ordinary Share at a price of $11.50 per share,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The Private Placement Warrants are identical to the Public Warrants sold in the Initial Public Offering except that, so long as they are held by the Sponsor, or their permitted transferees, the Private Placement Warrants (i) may not (including the Class A Ordinary Shares issuable upon exercise of these Private Placement Warrants), subject to certain limited exceptions, be transferred, assigned or sold by the holders until 30 days after the completion of the initial Business Combination and (ii) will be entitled to registration rights. </w:t>
      </w:r>
    </w:p>
    <w:p>
      <w:pPr>
        <w:pStyle w:val="TextBody"/>
        <w:bidi w:val="0"/>
        <w:spacing w:before="360" w:after="0"/>
        <w:jc w:val="left"/>
        <w:rPr>
          <w:rFonts w:ascii="Times New Roman" w:hAnsi="Times New Roman"/>
          <w:b/>
          <w:sz w:val="20"/>
        </w:rPr>
      </w:pPr>
      <w:r>
        <w:rPr>
          <w:rFonts w:ascii="Times New Roman" w:hAnsi="Times New Roman"/>
          <w:b/>
          <w:sz w:val="20"/>
        </w:rPr>
        <w:t xml:space="preserve">NOTE 5.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Founder Shares </w:t>
      </w:r>
    </w:p>
    <w:p>
      <w:pPr>
        <w:pStyle w:val="TextBody"/>
        <w:bidi w:val="0"/>
        <w:spacing w:before="120" w:after="0"/>
        <w:jc w:val="left"/>
        <w:rPr>
          <w:rFonts w:ascii="Times New Roman" w:hAnsi="Times New Roman"/>
          <w:sz w:val="20"/>
        </w:rPr>
      </w:pPr>
      <w:r>
        <w:rPr>
          <w:rFonts w:ascii="Times New Roman" w:hAnsi="Times New Roman"/>
          <w:sz w:val="20"/>
        </w:rPr>
        <w:t xml:space="preserve">On December 20, 2024, the Sponsor made a capital contribution of $25,000, or approximately $0.004 per share, by payment of offering costs on the Company’s behalf, for which the Company issued 5,750,000 of the Company’s Class B ordinary shares, par value $0.0001 per share (the “Class B Ordinary Shares”, and together with the Class A Ordinary Shares, the “Ordinary Shares”), to the Sponsor (such shares, the “Founder Shares”). Up to 750,000 of the Founder Shares could have been surrendered by the Sponsor for no consideration depending on the extent to which the Over-Allotment Option was exercised. On March 3, 2025, the Underwriters exercised their Over-Allotment Option in full as part of the closing of the Initial Public Offering. As such, those 750,000 Founder Shares are no longer subject to forfeiture.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an aggregate of 4,500,000 Private Placement Warrants at a price of $1.00 per Private Placement Warrant in the Private Placement to the Sponsor, generating gross proceeds of $4,500,000. Each whole Private Placement Warrant entitles the registered holder to purchase one Class A Ordinary Share at a price of $11.50 per share,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Letter Agreement, the Sponsor and the Company’s directors and officers have agreed not to transfer, assign or sell any of their Founder Shares and any Class A Ordinary Shares issued upon conversion thereof until the earlier to occur of (i) one year after the completion of the initial Business Combination or (ii) the date on which the Company completes a liquidation, merger, share exchange or other similar transaction after the initial Business Combination that results in all of the Company’s shareholders having the right to exchange their Class A Ordinary Shares for cash, securities or other property. Any permitted transferees will be subject to the same restrictions and other agreements as the Sponsor and the Company’s directors and officers with respect to any Founder Shares (the “Lock-up”). Notwithstanding the foregoing, if (x) the closing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if the Company consummates a transaction after the initial Business Combination that results in the Company’s shareholders having the right to exchange their shares for cash, securities or other property, the Founder Shares will be released from the Lock-up. </w:t>
      </w:r>
    </w:p>
    <w:p>
      <w:pPr>
        <w:pStyle w:val="TextBody"/>
        <w:bidi w:val="0"/>
        <w:spacing w:before="360" w:after="0"/>
        <w:jc w:val="left"/>
        <w:rPr>
          <w:rFonts w:ascii="Times New Roman" w:hAnsi="Times New Roman"/>
          <w:b/>
          <w:i/>
          <w:sz w:val="20"/>
        </w:rPr>
      </w:pPr>
      <w:r>
        <w:rPr>
          <w:rFonts w:ascii="Times New Roman" w:hAnsi="Times New Roman"/>
          <w:b/>
          <w:i/>
          <w:sz w:val="20"/>
        </w:rPr>
        <w:t xml:space="preserve">IPO Promissory Note — Related Party </w:t>
      </w:r>
    </w:p>
    <w:p>
      <w:pPr>
        <w:pStyle w:val="TextBody"/>
        <w:bidi w:val="0"/>
        <w:spacing w:before="120" w:after="0"/>
        <w:jc w:val="left"/>
        <w:rPr>
          <w:rFonts w:ascii="Times New Roman" w:hAnsi="Times New Roman"/>
          <w:sz w:val="20"/>
        </w:rPr>
      </w:pPr>
      <w:r>
        <w:rPr>
          <w:rFonts w:ascii="Times New Roman" w:hAnsi="Times New Roman"/>
          <w:sz w:val="20"/>
        </w:rPr>
        <w:t xml:space="preserve">The Sponsor agreed to loan the Company an aggregate of up to $300,000 to be used for a portion of the expenses of the Initial Public Offering pursuant to a promissory note (the “IPO Promissory Note”). The loan was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non-interest bearing, unsecured and payable on the date of the Initial Public Offering from the proceeds of the $1,000,000 of offering proceeds that has been allocated to the payment of offering expenses. As of December 31, 2025, the Company has repaid the Sponsor the outstanding balance of $176,573 under the IPO Promissory Note borrowings. Borrowings under the IPO Promissory Note are no longer available.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Administrative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Commencing on February 28, 2025, and until the completion of the Business Combination or liquidation, the Company reimburses an affiliate of the Sponsor, $17,500 per month for office space, utilities, and secretarial and administrative support. For the year ended December 31, 2025, The Company incurred and paid $175,000 in fees for these services. For the period ended November 27, 2024 (inception) through December 31, 2024, the Company did not incur any fees for these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Working Capital Loans </w:t>
      </w:r>
    </w:p>
    <w:p>
      <w:pPr>
        <w:pStyle w:val="TextBody"/>
        <w:bidi w:val="0"/>
        <w:spacing w:before="120" w:after="0"/>
        <w:jc w:val="left"/>
        <w:rPr>
          <w:rFonts w:ascii="Times New Roman" w:hAnsi="Times New Roman"/>
          <w:sz w:val="20"/>
        </w:rPr>
      </w:pPr>
      <w:r>
        <w:rPr>
          <w:rFonts w:ascii="Times New Roman" w:hAnsi="Times New Roman"/>
          <w:sz w:val="20"/>
        </w:rPr>
        <w:t xml:space="preserve">In order to finance transaction costs in connection with a Business Combination, the Sponsor or an affiliate of the Sponsor or certain of the Company’s officers and directors may, but are not obligated to, loan the Company funds as may be required.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Up to $1,500,000 of such Working Capital Loans may be convertible into warrants of the post-Business Combination entity at a price of $1.00 per warrant at the option of the lender. The warrants would be identical to the Private Placement Warrants. As of December 31, 2025, no such Working Capital Loans were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Due from Sponsor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covered certain expenses on behalf of its Sponsor, paying $713 and $0 as of December 31, 2025 and 2024, of which such amount is included in due from Sponsor in the accompanying consolidated balance sheets. </w:t>
      </w:r>
    </w:p>
    <w:p>
      <w:pPr>
        <w:pStyle w:val="TextBody"/>
        <w:bidi w:val="0"/>
        <w:spacing w:before="360" w:after="0"/>
        <w:jc w:val="left"/>
        <w:rPr>
          <w:rFonts w:ascii="Times New Roman" w:hAnsi="Times New Roman"/>
          <w:sz w:val="20"/>
        </w:rPr>
      </w:pPr>
      <w:r>
        <w:rPr>
          <w:rFonts w:ascii="Times New Roman" w:hAnsi="Times New Roman"/>
          <w:b/>
          <w:sz w:val="20"/>
        </w:rPr>
        <w:t>NOTE 6. COMMITMENTS</w:t>
      </w:r>
      <w:r>
        <w:rPr>
          <w:rFonts w:ascii="Times New Roman" w:hAnsi="Times New Roman"/>
          <w:sz w:val="20"/>
        </w:rPr>
        <w:t> </w:t>
      </w:r>
      <w:r>
        <w:rPr>
          <w:rFonts w:ascii="Times New Roman" w:hAnsi="Times New Roman"/>
          <w:b/>
          <w:sz w:val="20"/>
        </w:rPr>
        <w:t xml:space="preserve">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ability to complete an initial Business Combination may be adversely affected by various factors, many of which are beyond the Company’s control. The Company’s ability to consummate an initial Business Combination could be impacted by, among other things, changes in laws or regulations, downturns in the financial markets or in economic conditions, inflation, fluctuations in interest rates, increases in tariffs, supply chain disruptions, declines in consumer confidence and spending, public health considerations, and geopolitical instability, such as the military conflicts in Ukraine, between the United States, Israel, Iran and others in Middle East, and Southwest Asia or other armed hostilities. The Company cannot at this time predict the likelihood of one or more of the above events, their duration or magnitude or the extent to which they may negatively impact the Company’s ability to complete an initial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(i) Founder Shares, (ii) Private Placement Warrants and (iii) warrants that may be issued upon conversion of Working Capital Loans (and in each case holders of their underlying securities, as applicable)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registration rights to require the Company to register for resale of any of the Company’s securities held by them and any other securities of the Company acquired by them prior to the consummation of the initial Business Combination pursuant to a registration rights agreement, dated February 27, 2025, which the Company entered into with the Sponsor and the other signatories thereto.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had a 45-day option from the date of the Initial Public Offering to purchase up to an additional 3,000,000 Option Units to cover over-allotments, if any. On March 3, 2025, simultaneously with the closing of the Initial Public Offering, the Underwriters elected to fully exercise the Over-Allotment Option to purchase the additional 3,000,000 Option Units at a price of $10.00 per Option Unit.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were paid a commission of $250,000 upon the closing of the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also entitled to a deferred underwriting discount of $6,900,000 (3.0% of the gross proceeds of the Initial Public Offering held in the Trust Account) upon the completion of the initial Business Combination subject to the terms of the underwriting agreement, dated February 24, 2025 (the “Deferred Fee”), but such Deferred Fee shall be based partly on amounts remaining in the Trust Account following all properly submitted shareholder redemptions in connection with the consummation of the initial Business Combination. The Company had agreed to reimburse the Underwriters for certain out-of-pocket costs for the Initial Public Offering up to an aggregate reimbursement allowance of $35,000 for legal fees related to the review by Financial Industry Regulatory Authority.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Advisory Fee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Deferred Fee, the Company engaged Santander US Capital Markets LLC, the representative of the Underwriters (the “Representative”), to provide advisory services from time to time. As compensation for the services provided under an engagement letter, the Company shall pay the Representative a fee equal to 3.00% of the gross proceeds raised in the Initial Public Offering, payable upon closing of such initial Business Combination (the “Advisory Fee”). The Company has agreed to indemnify the Representative and its affiliates in connection with its role in providing the advisory services. The termination clause in the engagement letter deems the Advisory Fee earned and recordable as of December 31, 2025, and $6,900,000 has been recorded as deferred advisory fee on the accompanying consolidated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PIPE 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Contemporaneously with the execution of the Teamshares Merger Agreement, certain investors each entered into the PIPE Subscription Agreements with the Company in connection with the proposed Teamshares Business Combination. Pursuant to the PIPE Subscription Agreements, such investors committed to purchase shares of the Company’s Class A common stock at $9.20 per share, subject to customary closing conditions. The PIPE investment is expected to close concurrently with the consummation of the Teamshares Business Combination. </w:t>
      </w:r>
    </w:p>
    <w:p>
      <w:pPr>
        <w:pStyle w:val="TextBody"/>
        <w:bidi w:val="0"/>
        <w:spacing w:before="240" w:after="0"/>
        <w:jc w:val="left"/>
        <w:rPr>
          <w:rFonts w:ascii="Times New Roman" w:hAnsi="Times New Roman"/>
          <w:sz w:val="20"/>
        </w:rPr>
      </w:pPr>
      <w:r>
        <w:rPr>
          <w:rFonts w:ascii="Times New Roman" w:hAnsi="Times New Roman"/>
          <w:sz w:val="20"/>
        </w:rPr>
        <w:t>The Company accounts for each PIPE Subscription Agreement as a derivative instrument in accordance with the guidance in ASC 815-40. The instrument is subject to re-measurement at each balance sheet date, with changes in fair value recognized in the accompanying consolidated statements of operations. As of December 31, 2025 and 2024, the fair value of the PIPE Subscription Agreements liability was $15,274,088 and $0, respectively.</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Fee Letter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Business Combination, on December 24, 2025 the Company entered into a fee letter agreement pursuant to which the Company is obligated to pay a closing fee of $1,000,000 to the lenders in connection with a credit agreement entered into by Teamshares, if an FPA is entered into by the termination date. If an FPA is not entered into by the termination date the fee payable to the lenders would increase to $5,000,000. The fee letter agreement was analyzed under ASC 815 and concluded that the Sponsor Compensation obligation must be accounted for as a liability, measured at fair value with changes recognized in earnings, because equity classification under ASC 815-40 is explicitly precluded. The Company assessed the value of the agreement and determined it to be immaterial to the consolidated financial statements, as such no liability or expense has been recorded in connection with the fee letter agreement as of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NOTE 7. SHAREHOLDERS’ EQUITY (DEFICIT) </w:t>
      </w:r>
    </w:p>
    <w:p>
      <w:pPr>
        <w:pStyle w:val="TextBody"/>
        <w:bidi w:val="0"/>
        <w:spacing w:before="120" w:after="0"/>
        <w:jc w:val="left"/>
        <w:rPr>
          <w:rFonts w:ascii="Times New Roman" w:hAnsi="Times New Roman"/>
          <w:b/>
          <w:i/>
          <w:sz w:val="20"/>
        </w:rPr>
      </w:pPr>
      <w:r>
        <w:rPr>
          <w:rFonts w:ascii="Times New Roman" w:hAnsi="Times New Roman"/>
          <w:b/>
          <w:i/>
          <w:sz w:val="20"/>
        </w:rPr>
        <w:t xml:space="preserve">Preference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a total of 5,000,000 preference shares at par value of $0.0001 each. At December 31, 2025 and 2024, there were no preference shares issued or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A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a total of 500,000,000 Class A Ordinary Shares at par value of $0.0001 each. As of December 31, 2025 and 2024, there were no Class A Ordinary Shares issued or outstanding, excluding the 23,000,000 Class A Ordinary Shares subject to possible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B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a total of 50,000,000 Class B Ordinary Shares at par value of $0.0001 each. On December 20, 2024, the Company issued 5,750,000 Class B Ordinary Shares to the Sponsor for $25,000, or approximately $0.004 per share. As of December 31, 2025 and 2024, there were 5,750,000 Class B Ordinary Shares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will automatically convert into Class A Ordinary Shares concurrently with or immediately following the consummation of the initial Business Combination or earlier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sold in the Initial Public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20.00% of the sum of (i) the total number of all Class A Ordinary Shares outstanding upon the completion of the Initial Public Offering (including any Class A Ordinary Shares issued pursuant to the exercises of the Over-Allotment Option and excluding the Class A Ordinary Shares issuable upon exercise of the Private Placement Warrants), plus (ii) all Class A Ordinary Shares and equity-linked securities issued or deemed issued, in connection with the closing of the initial Business Combination (excluding any shares or equity-linked securities issued, or to be issued, to any seller in the initial Business Combination and any warrants issued to the Sponsor or any of its affiliates or to the Company’s officers or directors upon conversion of Working Capital Loans) minus (iii) any redemptions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Public Shares by Public Shareholders in connection with an initial Business Combination; provided that such conversion of Founder Shares will never occur on a less than one-for-one basis.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Ordinary Shares are entitled to one vote for each Ordinary Share held on all matters to be voted on by shareholders. Unless specified in the Amended and Restated Articles or as required by the Companies Act (As Revised) of the Cayman Islands or stock exchange rules, an ordinary resolution under Cayman Islands law and the Amended and Restated Articles,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the Company’s shareholders. Approval of certain actions requires a special resolution under Cayman Islands law, which (except as specified below) requires the affirmative vote of at least two-thirds of the votes cast by such shareholders as, being entitled to do so, vote in person or, where proxies are allowed, by proxy at the applicable general meeting, and pursuant to the Amended and Restated Articles, such actions include amending the Amended and Restated Articles and approving a statutory merger or consolidation with another company. There is no cumulative voting with respect to the appointment of directors, meaning, following the initial Business Combination, the holders of more than 50% of the Ordinary Shares voted for the appointment of directors can elect all of the directors. Prior to the consummation of the initial Business Combination, only holders of the Class B Ordinary Shares (i) have the right to vote on the appointment and removal of directors and (ii) are entitled to vote on continuing the Company in a jurisdiction outside the Cayman Islands (including any special resolution required to amend the constitutional documents or to adopt new constitutional documents, in each case, as a result of approving a transfer by way of continuation in a jurisdiction outside the Cayman Islands). Holders of Class A Ordinary Shares are not entitled to vote on these matters during such time. These provisions of the Amended and Restated Articles may only be amended if approved by a special resolution passed by the affirmative vote of at least 90% (or, where such amendment is proposed in respect of the consummation of the initial Business Combination, two-thirds) of the votes cast by such shareholders as, being entitled to do so, vote in person or, where proxies are allowed, by proxy at the applicable general meeting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and 2024, there were 16,000,000 Warrants outstanding, including 11,500,000 Public Warrants and 4,500,000 Private Placement Warrants. Each whole Warrant entitles the holder to purchase one Class A Ordinary Share at a price of $11.50 per share, subject to adjustment as discussed herein. The Warrants cannot be exercised until 30 days after the completion of the initial Business Combination, and will expire at 5:00 p.m., New York City time, five years after the completion of the initial Business Combination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be obligated to deliver any Class A Ordinary Shares pursuant to the exercise of a Warrant and will have no obligation to settle such Warrant exercise unless a registration statement under the Securities Act with respect to the Class A Ordinary Shares issuable upon exercise of the Warrants is then effective and a prospectus relating thereto is current.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Under the terms of the Warrant Agreement, dated February 27, 2025 that the Company entered into with Continental (the “Warrant Agreement”), the Company has agreed that, as soon as practicable, but in no event later than 20 business days, after the closing of its Business Combination, it will use its commercially reasonable efforts to file with the SEC a post-effective amendment to the IPO Registration Statement or a new registration statement covering the registration under the Securities Act of the Class A Ordinary Shares issuable upon exercise of the Warrants and thereafter will use its commercially reasonable efforts to cause the same to become effective within 60 business days following the initial Business Combination and to maintain a current prospectus relating to the Class A Ordinary Shares issuable upon exercise of the Warrants until the expiration of the Warrants in accordance with the provisions of the Warrant Agreement. If a registration statement covering the Class A Ordinary Shares issuable upon exercise of the Warrants is not effective by the sixtieth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commercially reasonable efforts to register or qualify the Class A Ordinary Shares under applicable blue sky laws to the extent an exemption is not available. </w:t>
      </w:r>
    </w:p>
    <w:p>
      <w:pPr>
        <w:pStyle w:val="TextBody"/>
        <w:bidi w:val="0"/>
        <w:spacing w:before="240" w:after="0"/>
        <w:jc w:val="left"/>
        <w:rPr>
          <w:rFonts w:ascii="Times New Roman" w:hAnsi="Times New Roman"/>
          <w:sz w:val="20"/>
        </w:rPr>
      </w:pPr>
      <w:r>
        <w:rPr>
          <w:rFonts w:ascii="Times New Roman" w:hAnsi="Times New Roman"/>
          <w:sz w:val="20"/>
        </w:rPr>
        <w:t xml:space="preserve">If the holders exercise their Public Warrants on a cashless basis, they would pay the warrant exercise price by surrendering the Public Warrants for that number of Class A Ordinary Shares equal to the quotient obtained by dividing (x) the product of the number of Class A Ordinary Shares issuable upon exercise of the Public Warrants, multiplied by the excess of the “fair market value” of the Class A Ordinary Shares over the exercise price of the Public Warrants by (y) the fair market value. The “fair market value” is the average reported closing price of the Class A Ordinary Shares for the 10 trading days ending on the third trading day prior to the date on which the notice of exercise is received by the warrant agent or on which the notice of redemption is sent to the holders of Public Warrants,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redeem the outstanding Public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price of $0.01 per Public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 minimum of 30 days’ prior written notice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closing price of the Class A Ordinary Shares equals or exceeds $18.00 per share (as adjusted for adjustments to the number of Class A Ordinary Shares issuable upon exercise or the exercise price of a Public Warrant) for any 20 trading days within a 30-trading day period commencing at least 30 days after completion of the initial Business Combination and ending three business days before the Company sends the notice of redemption to the warrant 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if the number of outstanding Class A Ordinary Shares is increased by a share capitalization payable in Class A Ordinary Shares, or by a subdivision of Ordinary Shares or other similar event, then, on the effective date of such share capitalization, subdivision or similar event, the number of Class A Ordinary Shares issuable upon exercise of each Warrant will be increased in proportion to such increase in the outstanding Ordinary Shares. A rights offering made to all or substantially all holders of Ordinary Shares entitling holders to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(x) the Company issues additional Class A Ordinary Shares or equity-linked securities for capital raising purposes in connection with the closing of the initial Business Combination at an issue price or effective issue price of less than $9.20 per Class A Ordinary Share (with such issue price or effective issue price to be determined in good faith by the Board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(including from such issuances and the Initial Public Offering),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the initial Business Combination (such price, the “Market Value”) is below $9.20 per share, then the exercise price of the Warrants will be adjusted (to the nearest cent) to be equal to 115% of the higher of the Market Value and the Newly Issued Price, and the $18.00 per share redemption trigger will be adjusted (to the nearest cent) to be equal to 180% of the higher of the Market Value and the Newly Issued Price. </w:t>
      </w:r>
    </w:p>
    <w:p>
      <w:pPr>
        <w:pStyle w:val="TextBody"/>
        <w:bidi w:val="0"/>
        <w:spacing w:before="360" w:after="0"/>
        <w:jc w:val="left"/>
        <w:rPr>
          <w:rFonts w:ascii="Times New Roman" w:hAnsi="Times New Roman"/>
          <w:b/>
          <w:sz w:val="20"/>
        </w:rPr>
      </w:pPr>
      <w:r>
        <w:rPr>
          <w:rFonts w:ascii="Times New Roman" w:hAnsi="Times New Roman"/>
          <w:b/>
          <w:sz w:val="20"/>
        </w:rPr>
        <w:t>NOTE 8. FAIR VALUE MEASUREMENTS</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816"/>
        <w:gridCol w:w="9084"/>
      </w:tblGrid>
      <w:tr>
        <w:trPr/>
        <w:tc>
          <w:tcPr>
            <w:tcW w:w="305"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Level 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Quoted prices in active markets for identical assets or liabilities. An active market for an asset or liability is a market in which transactions for the asset or liability occur with sufficient frequency and volume to provide pricing information on an ongoing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816"/>
        <w:gridCol w:w="9084"/>
      </w:tblGrid>
      <w:tr>
        <w:trPr/>
        <w:tc>
          <w:tcPr>
            <w:tcW w:w="305"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Level 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Observable inputs other than Level 1 inputs. Examples of Level 2 inputs include quoted prices in active markets for similar assets or liabilities and quoted prices for identical assets or liabilities in markets that are not active.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816"/>
        <w:gridCol w:w="9084"/>
      </w:tblGrid>
      <w:tr>
        <w:trPr/>
        <w:tc>
          <w:tcPr>
            <w:tcW w:w="305"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Level 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Unobservable inputs based on an assessment of the assumptions that market participants would use in pricing the asset or liability.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classifies its securities in the Trust Account that are invested in funds, such as Mutual Funds or Money Market Funds, that primarily invest in Treasury and equivalent securities as Trading Securities in accordance with FASB ASC Topic 320 “Investments–Debt and Equity Securities”. Trading Securities are recorded at fair market value on the accompanying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At December 31, 2025, assets held in the Trust Account were comprised of $239,042,295 in a mutual fund that is invested primarily in Treasury securities. For the period ended December 31, 2025, the Company did not withdraw any of the interest earned on the Trust Account. At December 31, 2024, the Trust Account did not exist.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49"/>
        <w:gridCol w:w="270"/>
        <w:gridCol w:w="154"/>
        <w:gridCol w:w="1359"/>
        <w:gridCol w:w="60"/>
        <w:gridCol w:w="270"/>
        <w:gridCol w:w="204"/>
        <w:gridCol w:w="611"/>
        <w:gridCol w:w="60"/>
        <w:gridCol w:w="270"/>
        <w:gridCol w:w="154"/>
        <w:gridCol w:w="1219"/>
        <w:gridCol w:w="60"/>
        <w:gridCol w:w="270"/>
        <w:gridCol w:w="154"/>
        <w:gridCol w:w="1359"/>
        <w:gridCol w:w="65"/>
      </w:tblGrid>
      <w:tr>
        <w:trPr/>
        <w:tc>
          <w:tcPr>
            <w:tcW w:w="2849"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84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620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Measured as of December 31, 2025</w:t>
            </w:r>
          </w:p>
        </w:tc>
        <w:tc>
          <w:tcPr>
            <w:tcW w:w="65" w:type="dxa"/>
            <w:tcBorders/>
            <w:vAlign w:val="bottom"/>
          </w:tcPr>
          <w:p>
            <w:pPr>
              <w:pStyle w:val="TableContents"/>
              <w:bidi w:val="0"/>
              <w:spacing w:before="0" w:after="283"/>
              <w:jc w:val="left"/>
              <w:rPr/>
            </w:pPr>
            <w:r>
              <w:rPr/>
              <w:t> </w:t>
            </w:r>
          </w:p>
        </w:tc>
      </w:tr>
      <w:tr>
        <w:trPr/>
        <w:tc>
          <w:tcPr>
            <w:tcW w:w="284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2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6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849"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 – U.S. Treasury Securities Money Market Fund</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239,042,295</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6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239,042,295</w:t>
            </w:r>
          </w:p>
        </w:tc>
        <w:tc>
          <w:tcPr>
            <w:tcW w:w="65" w:type="dxa"/>
            <w:tcBorders/>
            <w:vAlign w:val="bottom"/>
          </w:tcPr>
          <w:p>
            <w:pPr>
              <w:pStyle w:val="TableContents"/>
              <w:bidi w:val="0"/>
              <w:spacing w:before="0" w:after="283"/>
              <w:jc w:val="left"/>
              <w:rPr/>
            </w:pPr>
            <w:r>
              <w:rPr/>
              <w:t> </w:t>
            </w:r>
          </w:p>
        </w:tc>
      </w:tr>
      <w:tr>
        <w:trPr/>
        <w:tc>
          <w:tcPr>
            <w:tcW w:w="2849"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6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6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849" w:type="dxa"/>
            <w:tcBorders/>
          </w:tcPr>
          <w:p>
            <w:pPr>
              <w:pStyle w:val="TableContents"/>
              <w:bidi w:val="0"/>
              <w:spacing w:before="0" w:after="0"/>
              <w:jc w:val="left"/>
              <w:rPr>
                <w:rFonts w:ascii="Times New Roman" w:hAnsi="Times New Roman"/>
                <w:sz w:val="20"/>
              </w:rPr>
            </w:pPr>
            <w:r>
              <w:rPr>
                <w:rFonts w:ascii="Times New Roman" w:hAnsi="Times New Roman"/>
                <w:sz w:val="20"/>
              </w:rPr>
              <w:t>PIPE Subscription Agreements liability</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6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15,274,088</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15,274,088</w:t>
            </w:r>
          </w:p>
        </w:tc>
        <w:tc>
          <w:tcPr>
            <w:tcW w:w="65" w:type="dxa"/>
            <w:tcBorders/>
            <w:vAlign w:val="bottom"/>
          </w:tcPr>
          <w:p>
            <w:pPr>
              <w:pStyle w:val="TableContents"/>
              <w:bidi w:val="0"/>
              <w:spacing w:before="0" w:after="283"/>
              <w:jc w:val="left"/>
              <w:rPr/>
            </w:pPr>
            <w:r>
              <w:rPr/>
              <w:t> </w:t>
            </w:r>
          </w:p>
        </w:tc>
      </w:tr>
      <w:tr>
        <w:trPr/>
        <w:tc>
          <w:tcPr>
            <w:tcW w:w="2849"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6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PIPE Subscription Agreements Liability </w:t>
      </w:r>
    </w:p>
    <w:p>
      <w:pPr>
        <w:pStyle w:val="TextBody"/>
        <w:bidi w:val="0"/>
        <w:spacing w:before="120" w:after="0"/>
        <w:jc w:val="left"/>
        <w:rPr>
          <w:rFonts w:ascii="Times New Roman" w:hAnsi="Times New Roman"/>
          <w:sz w:val="20"/>
        </w:rPr>
      </w:pPr>
      <w:r>
        <w:rPr>
          <w:rFonts w:ascii="Times New Roman" w:hAnsi="Times New Roman"/>
          <w:sz w:val="20"/>
        </w:rPr>
        <w:t xml:space="preserve">In order to calculate the fair value of the PIPE Subscription Agreements derivative liability, the Company utilized the following inputs: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93"/>
        <w:gridCol w:w="567"/>
        <w:gridCol w:w="289"/>
        <w:gridCol w:w="1157"/>
        <w:gridCol w:w="275"/>
        <w:gridCol w:w="477"/>
        <w:gridCol w:w="283"/>
        <w:gridCol w:w="1135"/>
        <w:gridCol w:w="279"/>
      </w:tblGrid>
      <w:tr>
        <w:trPr/>
        <w:tc>
          <w:tcPr>
            <w:tcW w:w="3293" w:type="dxa"/>
            <w:tcBorders/>
            <w:vAlign w:val="center"/>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293"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November 14,</w:t>
              <w:br/>
              <w:t>2025</w:t>
              <w:br/>
              <w:t>(Initial</w:t>
              <w:br/>
              <w:t>measurement)</w:t>
            </w:r>
          </w:p>
        </w:tc>
        <w:tc>
          <w:tcPr>
            <w:tcW w:w="27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279" w:type="dxa"/>
            <w:tcBorders/>
            <w:vAlign w:val="bottom"/>
          </w:tcPr>
          <w:p>
            <w:pPr>
              <w:pStyle w:val="TableContents"/>
              <w:bidi w:val="0"/>
              <w:spacing w:before="0" w:after="283"/>
              <w:jc w:val="left"/>
              <w:rPr/>
            </w:pPr>
            <w:r>
              <w:rPr/>
              <w:t> </w:t>
            </w:r>
          </w:p>
        </w:tc>
      </w:tr>
      <w:tr>
        <w:trPr/>
        <w:tc>
          <w:tcPr>
            <w:tcW w:w="32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Probability of Business Combination</w:t>
            </w:r>
          </w:p>
        </w:tc>
        <w:tc>
          <w:tcPr>
            <w:tcW w:w="567"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85</w:t>
            </w:r>
          </w:p>
        </w:tc>
        <w:tc>
          <w:tcPr>
            <w:tcW w:w="27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90</w:t>
            </w:r>
          </w:p>
        </w:tc>
        <w:tc>
          <w:tcPr>
            <w:tcW w:w="279" w:type="dxa"/>
            <w:tcBorders/>
            <w:shd w:fill="CCEEFF" w:val="clear"/>
            <w:vAlign w:val="bottom"/>
          </w:tcPr>
          <w:p>
            <w:pPr>
              <w:pStyle w:val="TableContents"/>
              <w:bidi w:val="0"/>
              <w:spacing w:before="0" w:after="283"/>
              <w:jc w:val="left"/>
              <w:rPr/>
            </w:pPr>
            <w:r>
              <w:rPr/>
              <w:t>% </w:t>
            </w:r>
          </w:p>
        </w:tc>
      </w:tr>
      <w:tr>
        <w:trPr/>
        <w:tc>
          <w:tcPr>
            <w:tcW w:w="3293" w:type="dxa"/>
            <w:tcBorders/>
          </w:tcPr>
          <w:p>
            <w:pPr>
              <w:pStyle w:val="TableContents"/>
              <w:bidi w:val="0"/>
              <w:spacing w:before="0" w:after="0"/>
              <w:jc w:val="left"/>
              <w:rPr>
                <w:rFonts w:ascii="Times New Roman" w:hAnsi="Times New Roman"/>
                <w:sz w:val="20"/>
              </w:rPr>
            </w:pPr>
            <w:r>
              <w:rPr>
                <w:rFonts w:ascii="Times New Roman" w:hAnsi="Times New Roman"/>
                <w:sz w:val="20"/>
              </w:rPr>
              <w:t>Underlying Ordinary Share price</w:t>
            </w:r>
          </w:p>
        </w:tc>
        <w:tc>
          <w:tcPr>
            <w:tcW w:w="567"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10.32</w:t>
            </w:r>
          </w:p>
        </w:tc>
        <w:tc>
          <w:tcPr>
            <w:tcW w:w="27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5" w:type="dxa"/>
            <w:tcBorders/>
            <w:vAlign w:val="bottom"/>
          </w:tcPr>
          <w:p>
            <w:pPr>
              <w:pStyle w:val="TableContents"/>
              <w:bidi w:val="0"/>
              <w:spacing w:before="0" w:after="283"/>
              <w:jc w:val="right"/>
              <w:rPr/>
            </w:pPr>
            <w:r>
              <w:rPr/>
              <w:t>10.30</w:t>
            </w:r>
          </w:p>
        </w:tc>
        <w:tc>
          <w:tcPr>
            <w:tcW w:w="279" w:type="dxa"/>
            <w:tcBorders/>
            <w:vAlign w:val="bottom"/>
          </w:tcPr>
          <w:p>
            <w:pPr>
              <w:pStyle w:val="TableContents"/>
              <w:bidi w:val="0"/>
              <w:spacing w:before="0" w:after="283"/>
              <w:jc w:val="left"/>
              <w:rPr/>
            </w:pPr>
            <w:r>
              <w:rPr/>
              <w:t> </w:t>
            </w:r>
          </w:p>
        </w:tc>
      </w:tr>
      <w:tr>
        <w:trPr/>
        <w:tc>
          <w:tcPr>
            <w:tcW w:w="32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(years)</w:t>
            </w:r>
          </w:p>
        </w:tc>
        <w:tc>
          <w:tcPr>
            <w:tcW w:w="567"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0.54</w:t>
            </w:r>
          </w:p>
        </w:tc>
        <w:tc>
          <w:tcPr>
            <w:tcW w:w="27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0.41</w:t>
            </w:r>
          </w:p>
        </w:tc>
        <w:tc>
          <w:tcPr>
            <w:tcW w:w="279" w:type="dxa"/>
            <w:tcBorders/>
            <w:shd w:fill="CCEEFF" w:val="clear"/>
            <w:vAlign w:val="bottom"/>
          </w:tcPr>
          <w:p>
            <w:pPr>
              <w:pStyle w:val="TableContents"/>
              <w:bidi w:val="0"/>
              <w:spacing w:before="0" w:after="283"/>
              <w:jc w:val="left"/>
              <w:rPr/>
            </w:pPr>
            <w:r>
              <w:rPr/>
              <w:t> </w:t>
            </w:r>
          </w:p>
        </w:tc>
      </w:tr>
      <w:tr>
        <w:trPr/>
        <w:tc>
          <w:tcPr>
            <w:tcW w:w="3293" w:type="dxa"/>
            <w:tcBorders/>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567"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3.79</w:t>
            </w:r>
          </w:p>
        </w:tc>
        <w:tc>
          <w:tcPr>
            <w:tcW w:w="27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3.62</w:t>
            </w:r>
          </w:p>
        </w:tc>
        <w:tc>
          <w:tcPr>
            <w:tcW w:w="279" w:type="dxa"/>
            <w:tcBorders/>
            <w:vAlign w:val="bottom"/>
          </w:tcPr>
          <w:p>
            <w:pPr>
              <w:pStyle w:val="TableContents"/>
              <w:bidi w:val="0"/>
              <w:spacing w:before="0" w:after="283"/>
              <w:jc w:val="left"/>
              <w:rPr/>
            </w:pPr>
            <w:r>
              <w:rPr/>
              <w:t>% </w:t>
            </w:r>
          </w:p>
        </w:tc>
      </w:tr>
      <w:tr>
        <w:trPr/>
        <w:tc>
          <w:tcPr>
            <w:tcW w:w="32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Volatility</w:t>
            </w:r>
          </w:p>
        </w:tc>
        <w:tc>
          <w:tcPr>
            <w:tcW w:w="567"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12.70</w:t>
            </w:r>
          </w:p>
        </w:tc>
        <w:tc>
          <w:tcPr>
            <w:tcW w:w="27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4.60</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changes in the fair value of the PIPE Subscription Agreements derivative liability: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32"/>
        <w:gridCol w:w="439"/>
        <w:gridCol w:w="151"/>
        <w:gridCol w:w="1357"/>
        <w:gridCol w:w="160"/>
      </w:tblGrid>
      <w:tr>
        <w:trPr/>
        <w:tc>
          <w:tcPr>
            <w:tcW w:w="4832" w:type="dxa"/>
            <w:tcBorders/>
            <w:vAlign w:val="center"/>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32"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5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PIPE</w:t>
              <w:br/>
              <w:t>Subscription</w:t>
              <w:br/>
              <w:t>Agreements</w:t>
            </w:r>
          </w:p>
        </w:tc>
        <w:tc>
          <w:tcPr>
            <w:tcW w:w="160"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as of November 14, 2025 (initial measurement)</w:t>
            </w:r>
          </w:p>
        </w:tc>
        <w:tc>
          <w:tcPr>
            <w:tcW w:w="43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57" w:type="dxa"/>
            <w:tcBorders/>
            <w:shd w:fill="CCEEFF" w:val="clear"/>
            <w:vAlign w:val="bottom"/>
          </w:tcPr>
          <w:p>
            <w:pPr>
              <w:pStyle w:val="TableContents"/>
              <w:bidi w:val="0"/>
              <w:spacing w:before="0" w:after="283"/>
              <w:jc w:val="right"/>
              <w:rPr/>
            </w:pPr>
            <w:r>
              <w:rPr/>
              <w:t>15,582,052</w:t>
            </w:r>
          </w:p>
        </w:tc>
        <w:tc>
          <w:tcPr>
            <w:tcW w:w="160"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43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(307,964</w:t>
            </w:r>
          </w:p>
        </w:tc>
        <w:tc>
          <w:tcPr>
            <w:tcW w:w="160" w:type="dxa"/>
            <w:tcBorders/>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as of December 31, 2025</w:t>
            </w:r>
          </w:p>
        </w:tc>
        <w:tc>
          <w:tcPr>
            <w:tcW w:w="43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57" w:type="dxa"/>
            <w:tcBorders/>
            <w:shd w:fill="CCEEFF" w:val="clear"/>
            <w:vAlign w:val="bottom"/>
          </w:tcPr>
          <w:p>
            <w:pPr>
              <w:pStyle w:val="TableContents"/>
              <w:bidi w:val="0"/>
              <w:spacing w:before="0" w:after="283"/>
              <w:jc w:val="right"/>
              <w:rPr/>
            </w:pPr>
            <w:r>
              <w:rPr/>
              <w:t>15,274,088</w:t>
            </w:r>
          </w:p>
        </w:tc>
        <w:tc>
          <w:tcPr>
            <w:tcW w:w="160" w:type="dxa"/>
            <w:tcBorders/>
            <w:shd w:fill="CCEEFF" w:val="clear"/>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5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change in the fair value of the PIPE Subscription Agreements liability for the year ended December 31, 2025 is $307,964. There was no PIPE Subscription Agreements liability for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between fair value levels during year ended December 31, 2025 and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9.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FASB ASC Topic 280, “Segment Reporting,” establishes standards for companies to report in the Company’s financial statements information about operating segments, products, services, geographic areas, and major customers. Operating segments are defined as components of an enterprise for which separate financial information is available that is regularly evaluated by the Company’s chief operating decision maker (the “CODM”), or group, in deciding how to allocate resources and assess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has been identified as the Chief Financial Officer, who reviews the operating results for the Company as a whole to make decisions about allocating resources and assessing financial performance. The accounting policies used to measure the profit and loss of the segment are the same as those described in the summary of significant accounting policies. Therefore, the Company has one reportable segment. </w:t>
      </w:r>
    </w:p>
    <w:p>
      <w:pPr>
        <w:pStyle w:val="TextBody"/>
        <w:bidi w:val="0"/>
        <w:spacing w:before="240" w:after="0"/>
        <w:jc w:val="left"/>
        <w:rPr>
          <w:rFonts w:ascii="Times New Roman" w:hAnsi="Times New Roman"/>
          <w:sz w:val="20"/>
        </w:rPr>
      </w:pPr>
      <w:r>
        <w:rPr>
          <w:rFonts w:ascii="Times New Roman" w:hAnsi="Times New Roman"/>
          <w:sz w:val="20"/>
        </w:rPr>
        <w:t xml:space="preserve">The CODM assesses performance for the single segment and decides how to allocate resources based on net income (loss) that also is reported on the accompanying consolidated statements of operations as net income (loss). The measure of segment assets is reported on the accompanying consolidated balance sheets as total assets. When evaluating the Company’s performance and making key decisions regarding resource allocation, the CODM reviews several key metrics included in net income (loss) and total assets, which include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15"/>
        <w:gridCol w:w="512"/>
        <w:gridCol w:w="145"/>
        <w:gridCol w:w="1296"/>
        <w:gridCol w:w="60"/>
        <w:gridCol w:w="512"/>
        <w:gridCol w:w="383"/>
        <w:gridCol w:w="1069"/>
        <w:gridCol w:w="63"/>
      </w:tblGrid>
      <w:tr>
        <w:trPr/>
        <w:tc>
          <w:tcPr>
            <w:tcW w:w="3715" w:type="dxa"/>
            <w:tcBorders/>
            <w:vAlign w:val="center"/>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715"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14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14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3" w:type="dxa"/>
            <w:tcBorders/>
            <w:vAlign w:val="bottom"/>
          </w:tcPr>
          <w:p>
            <w:pPr>
              <w:pStyle w:val="TableContents"/>
              <w:bidi w:val="0"/>
              <w:spacing w:before="0" w:after="283"/>
              <w:jc w:val="left"/>
              <w:rPr/>
            </w:pPr>
            <w:r>
              <w:rPr/>
              <w:t> </w:t>
            </w:r>
          </w:p>
        </w:tc>
      </w:tr>
      <w:tr>
        <w:trPr/>
        <w:tc>
          <w:tcPr>
            <w:tcW w:w="3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51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239,042,295</w:t>
            </w:r>
          </w:p>
        </w:tc>
        <w:tc>
          <w:tcPr>
            <w:tcW w:w="6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w:t>
            </w:r>
          </w:p>
        </w:tc>
        <w:tc>
          <w:tcPr>
            <w:tcW w:w="106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715"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51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96" w:type="dxa"/>
            <w:tcBorders/>
            <w:vAlign w:val="bottom"/>
          </w:tcPr>
          <w:p>
            <w:pPr>
              <w:pStyle w:val="TableContents"/>
              <w:bidi w:val="0"/>
              <w:spacing w:before="0" w:after="283"/>
              <w:jc w:val="right"/>
              <w:rPr/>
            </w:pPr>
            <w:r>
              <w:rPr/>
              <w:t>1,329,433</w:t>
            </w:r>
          </w:p>
        </w:tc>
        <w:tc>
          <w:tcPr>
            <w:tcW w:w="6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w:t>
            </w:r>
          </w:p>
        </w:tc>
        <w:tc>
          <w:tcPr>
            <w:tcW w:w="106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00"/>
        <w:gridCol w:w="433"/>
        <w:gridCol w:w="189"/>
        <w:gridCol w:w="1331"/>
        <w:gridCol w:w="60"/>
        <w:gridCol w:w="433"/>
        <w:gridCol w:w="248"/>
        <w:gridCol w:w="1297"/>
        <w:gridCol w:w="64"/>
      </w:tblGrid>
      <w:tr>
        <w:trPr/>
        <w:tc>
          <w:tcPr>
            <w:tcW w:w="3700" w:type="dxa"/>
            <w:tcBorders/>
            <w:vAlign w:val="center"/>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w:t>
              <w:br/>
              <w:t>Year Ended</w:t>
              <w:br/>
              <w:t>December 31,</w:t>
              <w:br/>
              <w:t>2025</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w:t>
              <w:br/>
              <w:t>Period from</w:t>
              <w:br/>
              <w:t>November 27,</w:t>
              <w:br/>
              <w:t>2024</w:t>
              <w:br/>
              <w:t>(Inception)</w:t>
              <w:br/>
              <w:t>Through</w:t>
              <w:br/>
              <w:t>December 31,</w:t>
              <w:br/>
              <w:t>2024</w:t>
            </w:r>
          </w:p>
        </w:tc>
        <w:tc>
          <w:tcPr>
            <w:tcW w:w="64" w:type="dxa"/>
            <w:tcBorders/>
            <w:vAlign w:val="bottom"/>
          </w:tcPr>
          <w:p>
            <w:pPr>
              <w:pStyle w:val="TableContents"/>
              <w:bidi w:val="0"/>
              <w:spacing w:before="0" w:after="283"/>
              <w:jc w:val="left"/>
              <w:rPr/>
            </w:pPr>
            <w:r>
              <w:rPr/>
              <w:t> </w:t>
            </w:r>
          </w:p>
        </w:tc>
      </w:tr>
      <w:tr>
        <w:trPr/>
        <w:tc>
          <w:tcPr>
            <w:tcW w:w="3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costs</w:t>
            </w:r>
          </w:p>
        </w:tc>
        <w:tc>
          <w:tcPr>
            <w:tcW w:w="43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331" w:type="dxa"/>
            <w:tcBorders/>
            <w:shd w:fill="CCEEFF" w:val="clear"/>
            <w:vAlign w:val="bottom"/>
          </w:tcPr>
          <w:p>
            <w:pPr>
              <w:pStyle w:val="TableContents"/>
              <w:bidi w:val="0"/>
              <w:spacing w:before="0" w:after="283"/>
              <w:jc w:val="right"/>
              <w:rPr/>
            </w:pPr>
            <w:r>
              <w:rPr/>
              <w:t>2,213,588</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w:t>
            </w:r>
          </w:p>
        </w:tc>
        <w:tc>
          <w:tcPr>
            <w:tcW w:w="1297" w:type="dxa"/>
            <w:tcBorders/>
            <w:shd w:fill="CCEEFF" w:val="clear"/>
            <w:vAlign w:val="bottom"/>
          </w:tcPr>
          <w:p>
            <w:pPr>
              <w:pStyle w:val="TableContents"/>
              <w:bidi w:val="0"/>
              <w:spacing w:before="0" w:after="283"/>
              <w:jc w:val="right"/>
              <w:rPr/>
            </w:pPr>
            <w:r>
              <w:rPr/>
              <w:t>18,571</w:t>
            </w:r>
          </w:p>
        </w:tc>
        <w:tc>
          <w:tcPr>
            <w:tcW w:w="64" w:type="dxa"/>
            <w:tcBorders/>
            <w:shd w:fill="CCEEFF" w:val="clear"/>
            <w:vAlign w:val="bottom"/>
          </w:tcPr>
          <w:p>
            <w:pPr>
              <w:pStyle w:val="TableContents"/>
              <w:bidi w:val="0"/>
              <w:spacing w:before="0" w:after="283"/>
              <w:jc w:val="left"/>
              <w:rPr/>
            </w:pPr>
            <w:r>
              <w:rPr/>
              <w:t> </w:t>
            </w:r>
          </w:p>
        </w:tc>
      </w:tr>
      <w:tr>
        <w:trPr/>
        <w:tc>
          <w:tcPr>
            <w:tcW w:w="3700" w:type="dxa"/>
            <w:tcBorders/>
          </w:tcPr>
          <w:p>
            <w:pPr>
              <w:pStyle w:val="TableContents"/>
              <w:bidi w:val="0"/>
              <w:spacing w:before="0" w:after="0"/>
              <w:jc w:val="left"/>
              <w:rPr>
                <w:rFonts w:ascii="Times New Roman" w:hAnsi="Times New Roman"/>
                <w:sz w:val="20"/>
              </w:rPr>
            </w:pPr>
            <w:r>
              <w:rPr>
                <w:rFonts w:ascii="Times New Roman" w:hAnsi="Times New Roman"/>
                <w:sz w:val="20"/>
              </w:rPr>
              <w:t>Interest earned on marketable securities held in Trust Account</w:t>
            </w:r>
          </w:p>
        </w:tc>
        <w:tc>
          <w:tcPr>
            <w:tcW w:w="43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331" w:type="dxa"/>
            <w:tcBorders/>
            <w:vAlign w:val="bottom"/>
          </w:tcPr>
          <w:p>
            <w:pPr>
              <w:pStyle w:val="TableContents"/>
              <w:bidi w:val="0"/>
              <w:spacing w:before="0" w:after="283"/>
              <w:jc w:val="right"/>
              <w:rPr/>
            </w:pPr>
            <w:r>
              <w:rPr/>
              <w:t>7,892,295</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w:t>
            </w:r>
          </w:p>
        </w:tc>
        <w:tc>
          <w:tcPr>
            <w:tcW w:w="1297"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CODM reviews interest earned on marketable securities held in Trust Account to measure and monitor shareholder value and determine the most effective strategy of investment with the Trust Account funds while maintaining compliance with the Investment Management Trust Agreement, dated February 27, 2025 which the Company entered into with Continental, as trustee of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costs are reviewed and monitored by the CODM to manage and forecast cash to ensure enough capital is available to complete a Business Combination or similar transaction within the Combination Period. The CODM also reviews general and administrative costs to manage, maintain and enforce all contractual agreements to ensure costs are aligned with all agreements and budget. General and administrative costs, as reported on the accompanying consolidated statements of operations, are the significant segment expenses provided to the CODM on a regular basis. </w:t>
      </w:r>
    </w:p>
    <w:p>
      <w:pPr>
        <w:pStyle w:val="TextBody"/>
        <w:bidi w:val="0"/>
        <w:spacing w:before="240" w:after="0"/>
        <w:jc w:val="left"/>
        <w:rPr>
          <w:rFonts w:ascii="Times New Roman" w:hAnsi="Times New Roman"/>
          <w:sz w:val="20"/>
        </w:rPr>
      </w:pPr>
      <w:r>
        <w:rPr>
          <w:rFonts w:ascii="Times New Roman" w:hAnsi="Times New Roman"/>
          <w:sz w:val="20"/>
        </w:rPr>
        <w:t xml:space="preserve">All other segment items included in net loss are reported on the accompanying consolidated statements of operations and described within their respective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LIVE OAK ACQUISITION CORP. V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NOTE 10. SUBSEQUENT EVENTS</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accompanying consolidated balance sheets date up to the date that the accompanying consolidated financial statements were issued. Based upon this review, other than as set forth below, the Company did not identify any subsequent events that would have required adjustment or disclosure in the accompanying consolidated financial statements. </w:t>
      </w:r>
    </w:p>
    <w:p>
      <w:pPr>
        <w:pStyle w:val="TextBody"/>
        <w:bidi w:val="0"/>
        <w:spacing w:before="240" w:after="0"/>
        <w:jc w:val="left"/>
        <w:rPr>
          <w:rFonts w:ascii="Times New Roman" w:hAnsi="Times New Roman"/>
          <w:sz w:val="20"/>
        </w:rPr>
      </w:pPr>
      <w:bookmarkStart w:id="39" w:name="fin58823_16a"/>
      <w:bookmarkEnd w:id="39"/>
      <w:r>
        <w:rPr>
          <w:rFonts w:ascii="Times New Roman" w:hAnsi="Times New Roman"/>
          <w:sz w:val="20"/>
        </w:rPr>
        <w:t xml:space="preserve">On February 25, 2026, the Board appointed Somsak Chivavibul as a Class I director of the Board, effective immediately. The Board determined that Mr. Chivavibul qualifies as an independent director and appointed him to serve as a member of the Audit Committee and the chair of the Compensation Committee of the Board. In connection with the appointment, the Company entered into a joinder to the Letter Agreement with Mr. Chivavibul, as well as an indemnification agreement, which are substantially similar to those entered into by the Company’s current officers and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72"/>
        <w:gridCol w:w="141"/>
        <w:gridCol w:w="60"/>
        <w:gridCol w:w="470"/>
        <w:gridCol w:w="62"/>
      </w:tblGrid>
      <w:tr>
        <w:trPr/>
        <w:tc>
          <w:tcPr>
            <w:tcW w:w="9472"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FINANCIAL STATEMENTS (unaudited)</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72" w:type="dxa"/>
            <w:tcBorders/>
            <w:vAlign w:val="bottom"/>
          </w:tcPr>
          <w:p>
            <w:pPr>
              <w:pStyle w:val="TableContents"/>
              <w:bidi w:val="0"/>
              <w:spacing w:before="0" w:after="0"/>
              <w:jc w:val="left"/>
              <w:rPr/>
            </w:pPr>
            <w:hyperlink w:anchor="f58823_1">
              <w:r>
                <w:rPr>
                  <w:rStyle w:val="InternetLink"/>
                  <w:rFonts w:ascii="Times New Roman" w:hAnsi="Times New Roman"/>
                  <w:sz w:val="20"/>
                </w:rPr>
                <w:t>CONSOLIDATED BALANCE SHEETS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F-53</w:t>
            </w:r>
          </w:p>
        </w:tc>
        <w:tc>
          <w:tcPr>
            <w:tcW w:w="62" w:type="dxa"/>
            <w:tcBorders/>
            <w:vAlign w:val="bottom"/>
          </w:tcPr>
          <w:p>
            <w:pPr>
              <w:pStyle w:val="TableContents"/>
              <w:bidi w:val="0"/>
              <w:spacing w:before="0" w:after="283"/>
              <w:jc w:val="left"/>
              <w:rPr/>
            </w:pPr>
            <w:r>
              <w:rPr/>
              <w:t> </w:t>
            </w:r>
          </w:p>
        </w:tc>
      </w:tr>
      <w:tr>
        <w:trPr/>
        <w:tc>
          <w:tcPr>
            <w:tcW w:w="9472" w:type="dxa"/>
            <w:tcBorders/>
            <w:vAlign w:val="bottom"/>
          </w:tcPr>
          <w:p>
            <w:pPr>
              <w:pStyle w:val="TableContents"/>
              <w:bidi w:val="0"/>
              <w:spacing w:before="0" w:after="0"/>
              <w:jc w:val="left"/>
              <w:rPr/>
            </w:pPr>
            <w:hyperlink w:anchor="f58823_2">
              <w:r>
                <w:rPr>
                  <w:rStyle w:val="InternetLink"/>
                  <w:rFonts w:ascii="Times New Roman" w:hAnsi="Times New Roman"/>
                  <w:sz w:val="20"/>
                </w:rPr>
                <w:t>CONSOLIDATED STATEMENTS OF OPERATIONS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F-54</w:t>
            </w:r>
          </w:p>
        </w:tc>
        <w:tc>
          <w:tcPr>
            <w:tcW w:w="62" w:type="dxa"/>
            <w:tcBorders/>
            <w:vAlign w:val="bottom"/>
          </w:tcPr>
          <w:p>
            <w:pPr>
              <w:pStyle w:val="TableContents"/>
              <w:bidi w:val="0"/>
              <w:spacing w:before="0" w:after="283"/>
              <w:jc w:val="left"/>
              <w:rPr/>
            </w:pPr>
            <w:r>
              <w:rPr/>
              <w:t> </w:t>
            </w:r>
          </w:p>
        </w:tc>
      </w:tr>
      <w:tr>
        <w:trPr/>
        <w:tc>
          <w:tcPr>
            <w:tcW w:w="9472" w:type="dxa"/>
            <w:tcBorders/>
            <w:vAlign w:val="bottom"/>
          </w:tcPr>
          <w:p>
            <w:pPr>
              <w:pStyle w:val="TableContents"/>
              <w:bidi w:val="0"/>
              <w:spacing w:before="0" w:after="0"/>
              <w:jc w:val="left"/>
              <w:rPr/>
            </w:pPr>
            <w:hyperlink w:anchor="f58823_3">
              <w:r>
                <w:rPr>
                  <w:rStyle w:val="InternetLink"/>
                  <w:rFonts w:ascii="Times New Roman" w:hAnsi="Times New Roman"/>
                  <w:sz w:val="20"/>
                </w:rPr>
                <w:t>CONSOLIDATED STATEMENTS OF COMPREHENSIVE LOSS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F-55</w:t>
            </w:r>
          </w:p>
        </w:tc>
        <w:tc>
          <w:tcPr>
            <w:tcW w:w="62" w:type="dxa"/>
            <w:tcBorders/>
            <w:vAlign w:val="bottom"/>
          </w:tcPr>
          <w:p>
            <w:pPr>
              <w:pStyle w:val="TableContents"/>
              <w:bidi w:val="0"/>
              <w:spacing w:before="0" w:after="283"/>
              <w:jc w:val="left"/>
              <w:rPr/>
            </w:pPr>
            <w:r>
              <w:rPr/>
              <w:t> </w:t>
            </w:r>
          </w:p>
        </w:tc>
      </w:tr>
      <w:tr>
        <w:trPr/>
        <w:tc>
          <w:tcPr>
            <w:tcW w:w="9472" w:type="dxa"/>
            <w:tcBorders/>
            <w:vAlign w:val="bottom"/>
          </w:tcPr>
          <w:p>
            <w:pPr>
              <w:pStyle w:val="TableContents"/>
              <w:bidi w:val="0"/>
              <w:spacing w:before="0" w:after="0"/>
              <w:jc w:val="left"/>
              <w:rPr/>
            </w:pPr>
            <w:hyperlink w:anchor="f58823_4">
              <w:r>
                <w:rPr>
                  <w:rStyle w:val="InternetLink"/>
                  <w:rFonts w:ascii="Times New Roman" w:hAnsi="Times New Roman"/>
                  <w:sz w:val="20"/>
                </w:rPr>
                <w:t>CONSOLIDATED STATEMENTS OF STOCKHOLDERS’ EQUITY</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F-56</w:t>
            </w:r>
          </w:p>
        </w:tc>
        <w:tc>
          <w:tcPr>
            <w:tcW w:w="62" w:type="dxa"/>
            <w:tcBorders/>
            <w:vAlign w:val="bottom"/>
          </w:tcPr>
          <w:p>
            <w:pPr>
              <w:pStyle w:val="TableContents"/>
              <w:bidi w:val="0"/>
              <w:spacing w:before="0" w:after="283"/>
              <w:jc w:val="left"/>
              <w:rPr/>
            </w:pPr>
            <w:r>
              <w:rPr/>
              <w:t> </w:t>
            </w:r>
          </w:p>
        </w:tc>
      </w:tr>
      <w:tr>
        <w:trPr/>
        <w:tc>
          <w:tcPr>
            <w:tcW w:w="9472" w:type="dxa"/>
            <w:tcBorders/>
            <w:vAlign w:val="bottom"/>
          </w:tcPr>
          <w:p>
            <w:pPr>
              <w:pStyle w:val="TableContents"/>
              <w:bidi w:val="0"/>
              <w:spacing w:before="0" w:after="0"/>
              <w:jc w:val="left"/>
              <w:rPr/>
            </w:pPr>
            <w:hyperlink w:anchor="f58823_5">
              <w:r>
                <w:rPr>
                  <w:rStyle w:val="InternetLink"/>
                  <w:rFonts w:ascii="Times New Roman" w:hAnsi="Times New Roman"/>
                  <w:sz w:val="20"/>
                </w:rPr>
                <w:t>CONSOLIDATED STATEMENTS OF CASH FLOWS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F-57</w:t>
            </w:r>
          </w:p>
        </w:tc>
        <w:tc>
          <w:tcPr>
            <w:tcW w:w="62" w:type="dxa"/>
            <w:tcBorders/>
            <w:vAlign w:val="bottom"/>
          </w:tcPr>
          <w:p>
            <w:pPr>
              <w:pStyle w:val="TableContents"/>
              <w:bidi w:val="0"/>
              <w:spacing w:before="0" w:after="283"/>
              <w:jc w:val="left"/>
              <w:rPr/>
            </w:pPr>
            <w:r>
              <w:rPr/>
              <w:t> </w:t>
            </w:r>
          </w:p>
        </w:tc>
      </w:tr>
      <w:tr>
        <w:trPr/>
        <w:tc>
          <w:tcPr>
            <w:tcW w:w="9472" w:type="dxa"/>
            <w:tcBorders/>
            <w:vAlign w:val="bottom"/>
          </w:tcPr>
          <w:p>
            <w:pPr>
              <w:pStyle w:val="TableContents"/>
              <w:bidi w:val="0"/>
              <w:spacing w:before="0" w:after="0"/>
              <w:jc w:val="left"/>
              <w:rPr/>
            </w:pPr>
            <w:hyperlink w:anchor="f58823_6">
              <w:r>
                <w:rPr>
                  <w:rStyle w:val="InternetLink"/>
                  <w:rFonts w:ascii="Times New Roman" w:hAnsi="Times New Roman"/>
                  <w:sz w:val="20"/>
                </w:rPr>
                <w:t>NOTES TO CONDENSED CONSOLIDATED FINANCIAL STATEMENTS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F-58</w:t>
            </w:r>
          </w:p>
        </w:tc>
        <w:tc>
          <w:tcPr>
            <w:tcW w:w="62" w:type="dxa"/>
            <w:tcBorders/>
            <w:vAlign w:val="bottom"/>
          </w:tcPr>
          <w:p>
            <w:pPr>
              <w:pStyle w:val="TableContents"/>
              <w:bidi w:val="0"/>
              <w:spacing w:before="0" w:after="283"/>
              <w:jc w:val="left"/>
              <w:rPr/>
            </w:pPr>
            <w:r>
              <w:rPr/>
              <w:t> </w:t>
            </w:r>
          </w:p>
        </w:tc>
      </w:tr>
      <w:tr>
        <w:trPr>
          <w:trHeight w:val="240" w:hRule="atLeast"/>
        </w:trPr>
        <w:tc>
          <w:tcPr>
            <w:tcW w:w="9472" w:type="dxa"/>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9472" w:type="dxa"/>
            <w:tcBorders/>
            <w:vAlign w:val="bottom"/>
          </w:tcPr>
          <w:p>
            <w:pPr>
              <w:pStyle w:val="TableContents"/>
              <w:bidi w:val="0"/>
              <w:spacing w:before="0" w:after="0"/>
              <w:jc w:val="left"/>
              <w:rPr/>
            </w:pPr>
            <w:hyperlink w:anchor="fin58823_1">
              <w:r>
                <w:rPr>
                  <w:rStyle w:val="InternetLink"/>
                  <w:rFonts w:ascii="Times New Roman" w:hAnsi="Times New Roman"/>
                  <w:sz w:val="20"/>
                </w:rPr>
                <w:t>INDEPENDENT AUDITORS’ REPORT</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F-74</w:t>
            </w:r>
          </w:p>
        </w:tc>
        <w:tc>
          <w:tcPr>
            <w:tcW w:w="62" w:type="dxa"/>
            <w:tcBorders/>
            <w:vAlign w:val="bottom"/>
          </w:tcPr>
          <w:p>
            <w:pPr>
              <w:pStyle w:val="TableContents"/>
              <w:bidi w:val="0"/>
              <w:spacing w:before="0" w:after="283"/>
              <w:jc w:val="left"/>
              <w:rPr/>
            </w:pPr>
            <w:r>
              <w:rPr/>
              <w:t> </w:t>
            </w:r>
          </w:p>
        </w:tc>
      </w:tr>
      <w:tr>
        <w:trPr>
          <w:trHeight w:val="240" w:hRule="atLeast"/>
        </w:trPr>
        <w:tc>
          <w:tcPr>
            <w:tcW w:w="9472" w:type="dxa"/>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94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FINANCIAL STATEMENTS (audited)</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72" w:type="dxa"/>
            <w:tcBorders/>
            <w:vAlign w:val="bottom"/>
          </w:tcPr>
          <w:p>
            <w:pPr>
              <w:pStyle w:val="TableContents"/>
              <w:bidi w:val="0"/>
              <w:spacing w:before="0" w:after="0"/>
              <w:jc w:val="left"/>
              <w:rPr/>
            </w:pPr>
            <w:hyperlink w:anchor="fin58823_2">
              <w:r>
                <w:rPr>
                  <w:rStyle w:val="InternetLink"/>
                  <w:rFonts w:ascii="Times New Roman" w:hAnsi="Times New Roman"/>
                  <w:sz w:val="20"/>
                </w:rPr>
                <w:t xml:space="preserve">CONSOLIDATED BALANCE SHEETS </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F-75</w:t>
            </w:r>
          </w:p>
        </w:tc>
        <w:tc>
          <w:tcPr>
            <w:tcW w:w="62" w:type="dxa"/>
            <w:tcBorders/>
            <w:vAlign w:val="bottom"/>
          </w:tcPr>
          <w:p>
            <w:pPr>
              <w:pStyle w:val="TableContents"/>
              <w:bidi w:val="0"/>
              <w:spacing w:before="0" w:after="283"/>
              <w:jc w:val="left"/>
              <w:rPr/>
            </w:pPr>
            <w:r>
              <w:rPr/>
              <w:t> </w:t>
            </w:r>
          </w:p>
        </w:tc>
      </w:tr>
      <w:tr>
        <w:trPr/>
        <w:tc>
          <w:tcPr>
            <w:tcW w:w="9472" w:type="dxa"/>
            <w:tcBorders/>
            <w:vAlign w:val="bottom"/>
          </w:tcPr>
          <w:p>
            <w:pPr>
              <w:pStyle w:val="TableContents"/>
              <w:bidi w:val="0"/>
              <w:spacing w:before="0" w:after="0"/>
              <w:jc w:val="left"/>
              <w:rPr/>
            </w:pPr>
            <w:hyperlink w:anchor="fin58823_3">
              <w:r>
                <w:rPr>
                  <w:rStyle w:val="InternetLink"/>
                  <w:rFonts w:ascii="Times New Roman" w:hAnsi="Times New Roman"/>
                  <w:sz w:val="20"/>
                </w:rPr>
                <w:t>CONSOLIDATED STATEMENTS OF OPERATIONS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F-76</w:t>
            </w:r>
          </w:p>
        </w:tc>
        <w:tc>
          <w:tcPr>
            <w:tcW w:w="62" w:type="dxa"/>
            <w:tcBorders/>
            <w:vAlign w:val="bottom"/>
          </w:tcPr>
          <w:p>
            <w:pPr>
              <w:pStyle w:val="TableContents"/>
              <w:bidi w:val="0"/>
              <w:spacing w:before="0" w:after="283"/>
              <w:jc w:val="left"/>
              <w:rPr/>
            </w:pPr>
            <w:r>
              <w:rPr/>
              <w:t> </w:t>
            </w:r>
          </w:p>
        </w:tc>
      </w:tr>
      <w:tr>
        <w:trPr/>
        <w:tc>
          <w:tcPr>
            <w:tcW w:w="9472" w:type="dxa"/>
            <w:tcBorders/>
            <w:vAlign w:val="bottom"/>
          </w:tcPr>
          <w:p>
            <w:pPr>
              <w:pStyle w:val="TableContents"/>
              <w:bidi w:val="0"/>
              <w:spacing w:before="0" w:after="0"/>
              <w:jc w:val="left"/>
              <w:rPr/>
            </w:pPr>
            <w:hyperlink w:anchor="fin58823_4">
              <w:r>
                <w:rPr>
                  <w:rStyle w:val="InternetLink"/>
                  <w:rFonts w:ascii="Times New Roman" w:hAnsi="Times New Roman"/>
                  <w:sz w:val="20"/>
                </w:rPr>
                <w:t>CONSOLIDATED STATEMENTS OF COMPREHENSIVE LOSS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F-77</w:t>
            </w:r>
          </w:p>
        </w:tc>
        <w:tc>
          <w:tcPr>
            <w:tcW w:w="62" w:type="dxa"/>
            <w:tcBorders/>
            <w:vAlign w:val="bottom"/>
          </w:tcPr>
          <w:p>
            <w:pPr>
              <w:pStyle w:val="TableContents"/>
              <w:bidi w:val="0"/>
              <w:spacing w:before="0" w:after="283"/>
              <w:jc w:val="left"/>
              <w:rPr/>
            </w:pPr>
            <w:r>
              <w:rPr/>
              <w:t> </w:t>
            </w:r>
          </w:p>
        </w:tc>
      </w:tr>
      <w:tr>
        <w:trPr/>
        <w:tc>
          <w:tcPr>
            <w:tcW w:w="9472" w:type="dxa"/>
            <w:tcBorders/>
            <w:vAlign w:val="bottom"/>
          </w:tcPr>
          <w:p>
            <w:pPr>
              <w:pStyle w:val="TableContents"/>
              <w:bidi w:val="0"/>
              <w:spacing w:before="0" w:after="0"/>
              <w:jc w:val="left"/>
              <w:rPr/>
            </w:pPr>
            <w:hyperlink w:anchor="fin58823_5">
              <w:r>
                <w:rPr>
                  <w:rStyle w:val="InternetLink"/>
                  <w:rFonts w:ascii="Times New Roman" w:hAnsi="Times New Roman"/>
                  <w:sz w:val="20"/>
                </w:rPr>
                <w:t>CONSOLIDATED STATEMENTS OF STOCKHOLDERS’ EQUITY</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F-78</w:t>
            </w:r>
          </w:p>
        </w:tc>
        <w:tc>
          <w:tcPr>
            <w:tcW w:w="62" w:type="dxa"/>
            <w:tcBorders/>
            <w:vAlign w:val="bottom"/>
          </w:tcPr>
          <w:p>
            <w:pPr>
              <w:pStyle w:val="TableContents"/>
              <w:bidi w:val="0"/>
              <w:spacing w:before="0" w:after="283"/>
              <w:jc w:val="left"/>
              <w:rPr/>
            </w:pPr>
            <w:r>
              <w:rPr/>
              <w:t> </w:t>
            </w:r>
          </w:p>
        </w:tc>
      </w:tr>
      <w:tr>
        <w:trPr/>
        <w:tc>
          <w:tcPr>
            <w:tcW w:w="9472" w:type="dxa"/>
            <w:tcBorders/>
            <w:vAlign w:val="bottom"/>
          </w:tcPr>
          <w:p>
            <w:pPr>
              <w:pStyle w:val="TableContents"/>
              <w:bidi w:val="0"/>
              <w:spacing w:before="0" w:after="0"/>
              <w:jc w:val="left"/>
              <w:rPr/>
            </w:pPr>
            <w:hyperlink w:anchor="fin58823_6">
              <w:r>
                <w:rPr>
                  <w:rStyle w:val="InternetLink"/>
                  <w:rFonts w:ascii="Times New Roman" w:hAnsi="Times New Roman"/>
                  <w:sz w:val="20"/>
                </w:rPr>
                <w:t>CONSOLIDATED STATEMENTS OF CASH FLOWS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F-79</w:t>
            </w:r>
          </w:p>
        </w:tc>
        <w:tc>
          <w:tcPr>
            <w:tcW w:w="62" w:type="dxa"/>
            <w:tcBorders/>
            <w:vAlign w:val="bottom"/>
          </w:tcPr>
          <w:p>
            <w:pPr>
              <w:pStyle w:val="TableContents"/>
              <w:bidi w:val="0"/>
              <w:spacing w:before="0" w:after="283"/>
              <w:jc w:val="left"/>
              <w:rPr/>
            </w:pPr>
            <w:r>
              <w:rPr/>
              <w:t> </w:t>
            </w:r>
          </w:p>
        </w:tc>
      </w:tr>
      <w:tr>
        <w:trPr/>
        <w:tc>
          <w:tcPr>
            <w:tcW w:w="9472" w:type="dxa"/>
            <w:tcBorders/>
            <w:vAlign w:val="bottom"/>
          </w:tcPr>
          <w:p>
            <w:pPr>
              <w:pStyle w:val="TableContents"/>
              <w:bidi w:val="0"/>
              <w:spacing w:before="0" w:after="0"/>
              <w:jc w:val="left"/>
              <w:rPr/>
            </w:pPr>
            <w:hyperlink w:anchor="fin58823_7">
              <w:r>
                <w:rPr>
                  <w:rStyle w:val="InternetLink"/>
                  <w:rFonts w:ascii="Times New Roman" w:hAnsi="Times New Roman"/>
                  <w:sz w:val="20"/>
                </w:rPr>
                <w:t>NOTES TO CONSOLIDATED FINANCIAL STATEMENTS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F-80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40" w:name="f58823_1"/>
      <w:bookmarkEnd w:id="40"/>
      <w:r>
        <w:rPr>
          <w:rFonts w:ascii="Times New Roman" w:hAnsi="Times New Roman"/>
          <w:sz w:val="20"/>
        </w:rPr>
        <w:t xml:space="preserve">CONSOLIDATED BALANCE SHEETS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81"/>
        <w:gridCol w:w="447"/>
        <w:gridCol w:w="162"/>
        <w:gridCol w:w="1073"/>
        <w:gridCol w:w="155"/>
        <w:gridCol w:w="400"/>
        <w:gridCol w:w="195"/>
        <w:gridCol w:w="1234"/>
        <w:gridCol w:w="158"/>
      </w:tblGrid>
      <w:tr>
        <w:trPr/>
        <w:tc>
          <w:tcPr>
            <w:tcW w:w="6381" w:type="dxa"/>
            <w:tcBorders/>
            <w:vAlign w:val="center"/>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81"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br/>
              <w:t>(Unaudited)</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Assets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Current Assets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3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Cash and Cash Equivalents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37,030</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40,246</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Restricted Cash</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10,801</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13,426</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Accounts Receivable, Net</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23,049</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21,354</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Inventories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51,028</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46,405</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Prepaid Expenses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3,036</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2,870</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Other Current Assets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2,186</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3,052</w:t>
            </w:r>
          </w:p>
        </w:tc>
        <w:tc>
          <w:tcPr>
            <w:tcW w:w="158" w:type="dxa"/>
            <w:tcBorders/>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Current Assets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127,129</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127,352</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Long-Term Assets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3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Restricted Cash</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425</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425</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Property, Plant, and Equipment, Net</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29,998</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30,043</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Operating Lease Right of Use Assets, Net</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93,517</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93,586</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Goodwill, Net</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245,439</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244,743</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Internally Developed Software, Net</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6,263</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6,769</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Trade Names, Net</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12,346</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11,598</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Assets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12,625</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13,676</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Long-Term Assets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400,613</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400,840</w:t>
            </w:r>
          </w:p>
        </w:tc>
        <w:tc>
          <w:tcPr>
            <w:tcW w:w="158" w:type="dxa"/>
            <w:tcBorders/>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Assets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527,742</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528,193</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b/>
                <w:sz w:val="16"/>
              </w:rPr>
            </w:pPr>
            <w:r>
              <w:rPr>
                <w:rFonts w:ascii="Times New Roman" w:hAnsi="Times New Roman"/>
                <w:b/>
                <w:sz w:val="16"/>
              </w:rPr>
              <w:t>Liabilities and Stockholders’ Equity</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3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Current Liabilities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Accounts Payable</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073" w:type="dxa"/>
            <w:tcBorders/>
            <w:vAlign w:val="bottom"/>
          </w:tcPr>
          <w:p>
            <w:pPr>
              <w:pStyle w:val="TableContents"/>
              <w:bidi w:val="0"/>
              <w:spacing w:before="0" w:after="283"/>
              <w:jc w:val="right"/>
              <w:rPr/>
            </w:pPr>
            <w:r>
              <w:rPr/>
              <w:t>29,467</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34" w:type="dxa"/>
            <w:tcBorders/>
            <w:vAlign w:val="bottom"/>
          </w:tcPr>
          <w:p>
            <w:pPr>
              <w:pStyle w:val="TableContents"/>
              <w:bidi w:val="0"/>
              <w:spacing w:before="0" w:after="283"/>
              <w:jc w:val="right"/>
              <w:rPr/>
            </w:pPr>
            <w:r>
              <w:rPr/>
              <w:t>22,586</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Accrued Expenses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10,830</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10,562</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Deferred Revenue</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14,587</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10,051</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Contingent Consideration</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2,408</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3,151</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Short-Term Debt and Current Portion of Long-Term Debt</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214,175</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200,147</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Current Portion of Operating Lease Obligations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9,079</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8,524</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Other Current Liabilities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12,567</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9,893</w:t>
            </w:r>
          </w:p>
        </w:tc>
        <w:tc>
          <w:tcPr>
            <w:tcW w:w="158" w:type="dxa"/>
            <w:tcBorders/>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Current Liabilities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293,113</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264,913</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Long-Term Liabilities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3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Warrant Liability</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2,881</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2,922</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Contingent Consideration</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6,009</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6,044</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Long-Term Debt, Net</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86,029</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91,399</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Long-Term Operating Lease Obligations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87,881</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88,144</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Long-Term Liabilities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9,903</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8,687</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Long-Term Liabilities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192,703</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197,196</w:t>
            </w:r>
          </w:p>
        </w:tc>
        <w:tc>
          <w:tcPr>
            <w:tcW w:w="158" w:type="dxa"/>
            <w:tcBorders/>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Liabilities</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485,816</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462,109</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Redeemable Noncontrolling Interests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1,762</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2,451</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Stockholders’ Equity</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Common Stock, $0.00001 par value, 11,307,218 shares authorized, 1,174,429 issued and outstanding as of March 31, 2026; 11,307,218 shares authorized, 1,174,429 shares issued and outstanding as of December 31, 2025</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Preferred Stock, $0.00001 par value, 8,428,093 shares authorized, 7,758,235 issued and outstanding, liquidation preference of $337,206,414 as of March 31, 2026; 8,428,093 shares authorized, 7,758,235 issued and outstanding, liquidation preference of $337,206,414 as of December 31, 2025</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Additional Paid-In Capital</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328,634</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327,843</w:t>
            </w:r>
          </w:p>
        </w:tc>
        <w:tc>
          <w:tcPr>
            <w:tcW w:w="158"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Accumulated Deficit</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(284,652</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(261,775</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Accumulated Other Comprehensive Loss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(1,298</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(128</w:t>
            </w:r>
          </w:p>
        </w:tc>
        <w:tc>
          <w:tcPr>
            <w:tcW w:w="158" w:type="dxa"/>
            <w:tcBorders/>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Stockholders’ Equity</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42,684</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65,941</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16"/>
              </w:rPr>
            </w:pPr>
            <w:r>
              <w:rPr>
                <w:rFonts w:ascii="Times New Roman" w:hAnsi="Times New Roman"/>
                <w:sz w:val="16"/>
              </w:rPr>
              <w:t>Noncontrolling Interests</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(2,521</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(2,308</w:t>
            </w:r>
          </w:p>
        </w:tc>
        <w:tc>
          <w:tcPr>
            <w:tcW w:w="158" w:type="dxa"/>
            <w:tcBorders/>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Equity</w:t>
            </w:r>
          </w:p>
        </w:tc>
        <w:tc>
          <w:tcPr>
            <w:tcW w:w="4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40,163</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63,633</w:t>
            </w:r>
          </w:p>
        </w:tc>
        <w:tc>
          <w:tcPr>
            <w:tcW w:w="158" w:type="dxa"/>
            <w:tcBorders/>
            <w:shd w:fill="CCEEFF" w:val="clear"/>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Liabilities and Stockholders’ Equity</w:t>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073" w:type="dxa"/>
            <w:tcBorders/>
            <w:vAlign w:val="bottom"/>
          </w:tcPr>
          <w:p>
            <w:pPr>
              <w:pStyle w:val="TableContents"/>
              <w:bidi w:val="0"/>
              <w:spacing w:before="0" w:after="283"/>
              <w:jc w:val="right"/>
              <w:rPr/>
            </w:pPr>
            <w:r>
              <w:rPr/>
              <w:t>527,742</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34" w:type="dxa"/>
            <w:tcBorders/>
            <w:vAlign w:val="bottom"/>
          </w:tcPr>
          <w:p>
            <w:pPr>
              <w:pStyle w:val="TableContents"/>
              <w:bidi w:val="0"/>
              <w:spacing w:before="0" w:after="283"/>
              <w:jc w:val="right"/>
              <w:rPr/>
            </w:pPr>
            <w:r>
              <w:rPr/>
              <w:t>528,193</w:t>
            </w:r>
          </w:p>
        </w:tc>
        <w:tc>
          <w:tcPr>
            <w:tcW w:w="158" w:type="dxa"/>
            <w:tcBorders/>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Unaudited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41" w:name="f58823_2"/>
      <w:bookmarkEnd w:id="41"/>
      <w:r>
        <w:rPr>
          <w:rFonts w:ascii="Times New Roman" w:hAnsi="Times New Roman"/>
          <w:sz w:val="20"/>
        </w:rPr>
        <w:t xml:space="preserve">CONSOLIDATED STATEMENTS OF OPERATIONS </w:t>
      </w:r>
    </w:p>
    <w:p>
      <w:pPr>
        <w:pStyle w:val="TextBody"/>
        <w:bidi w:val="0"/>
        <w:spacing w:before="0" w:after="0"/>
        <w:jc w:val="center"/>
        <w:rPr>
          <w:rFonts w:ascii="Times New Roman" w:hAnsi="Times New Roman"/>
          <w:i/>
          <w:sz w:val="20"/>
        </w:rPr>
      </w:pPr>
      <w:r>
        <w:rPr>
          <w:rFonts w:ascii="Times New Roman" w:hAnsi="Times New Roman"/>
          <w:i/>
          <w:sz w:val="20"/>
        </w:rPr>
        <w:t xml:space="preserve">(Unaudited and dollars 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55"/>
        <w:gridCol w:w="478"/>
        <w:gridCol w:w="239"/>
        <w:gridCol w:w="1375"/>
        <w:gridCol w:w="155"/>
        <w:gridCol w:w="432"/>
        <w:gridCol w:w="239"/>
        <w:gridCol w:w="1375"/>
        <w:gridCol w:w="157"/>
      </w:tblGrid>
      <w:tr>
        <w:trPr/>
        <w:tc>
          <w:tcPr>
            <w:tcW w:w="5755" w:type="dxa"/>
            <w:tcBorders/>
            <w:vAlign w:val="center"/>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55"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614" w:type="dxa"/>
            <w:gridSpan w:val="2"/>
            <w:tcBorders/>
            <w:vAlign w:val="bottom"/>
          </w:tcPr>
          <w:p>
            <w:pPr>
              <w:pStyle w:val="TableContents"/>
              <w:bidi w:val="0"/>
              <w:spacing w:before="0" w:after="283"/>
              <w:jc w:val="center"/>
              <w:rPr>
                <w:b/>
              </w:rPr>
            </w:pPr>
            <w:r>
              <w:rPr>
                <w:b/>
              </w:rPr>
              <w:t>For the Three</w:t>
              <w:br/>
              <w:t>Months Ended</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614" w:type="dxa"/>
            <w:gridSpan w:val="2"/>
            <w:tcBorders/>
            <w:vAlign w:val="bottom"/>
          </w:tcPr>
          <w:p>
            <w:pPr>
              <w:pStyle w:val="TableContents"/>
              <w:bidi w:val="0"/>
              <w:spacing w:before="0" w:after="283"/>
              <w:jc w:val="center"/>
              <w:rPr>
                <w:b/>
              </w:rPr>
            </w:pPr>
            <w:r>
              <w:rPr>
                <w:b/>
              </w:rPr>
              <w:t>For the Three</w:t>
              <w:br/>
              <w:t>Months Ended</w:t>
            </w:r>
          </w:p>
        </w:tc>
        <w:tc>
          <w:tcPr>
            <w:tcW w:w="157" w:type="dxa"/>
            <w:tcBorders/>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6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6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157"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Products</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375" w:type="dxa"/>
            <w:tcBorders/>
            <w:vAlign w:val="bottom"/>
          </w:tcPr>
          <w:p>
            <w:pPr>
              <w:pStyle w:val="TableContents"/>
              <w:bidi w:val="0"/>
              <w:spacing w:before="0" w:after="283"/>
              <w:jc w:val="right"/>
              <w:rPr/>
            </w:pPr>
            <w:r>
              <w:rPr/>
              <w:t>89,541</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375" w:type="dxa"/>
            <w:tcBorders/>
            <w:vAlign w:val="bottom"/>
          </w:tcPr>
          <w:p>
            <w:pPr>
              <w:pStyle w:val="TableContents"/>
              <w:bidi w:val="0"/>
              <w:spacing w:before="0" w:after="283"/>
              <w:jc w:val="right"/>
              <w:rPr/>
            </w:pPr>
            <w:r>
              <w:rPr/>
              <w:t>70,922</w:t>
            </w:r>
          </w:p>
        </w:tc>
        <w:tc>
          <w:tcPr>
            <w:tcW w:w="157"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Services</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31,498</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31,621</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121,039</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102,543</w:t>
            </w:r>
          </w:p>
        </w:tc>
        <w:tc>
          <w:tcPr>
            <w:tcW w:w="157"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 of Revenue:</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Products</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55,310</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44,655</w:t>
            </w:r>
          </w:p>
        </w:tc>
        <w:tc>
          <w:tcPr>
            <w:tcW w:w="157"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Services</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17,786</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18,989</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Total Cost of Revenue</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73,096</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63,643</w:t>
            </w:r>
          </w:p>
        </w:tc>
        <w:tc>
          <w:tcPr>
            <w:tcW w:w="157" w:type="dxa"/>
            <w:tcBorders/>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47,943</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38,900</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 (Income)</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823</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837</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1,704</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1,413</w:t>
            </w:r>
          </w:p>
        </w:tc>
        <w:tc>
          <w:tcPr>
            <w:tcW w:w="157"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53,014</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45,789</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2,980</w:t>
            </w:r>
          </w:p>
        </w:tc>
        <w:tc>
          <w:tcPr>
            <w:tcW w:w="157"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Disposition of Assets</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(203</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435</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55,338</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51,455</w:t>
            </w:r>
          </w:p>
        </w:tc>
        <w:tc>
          <w:tcPr>
            <w:tcW w:w="157" w:type="dxa"/>
            <w:tcBorders/>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(7,395</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(12,554</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b/>
                <w:sz w:val="20"/>
              </w:rPr>
            </w:pPr>
            <w:r>
              <w:rPr>
                <w:rFonts w:ascii="Times New Roman" w:hAnsi="Times New Roman"/>
                <w:b/>
                <w:sz w:val="20"/>
              </w:rPr>
              <w:t>Non-Operating Expenses (Income)</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15,364</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7,304</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(41</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(324</w:t>
            </w:r>
          </w:p>
        </w:tc>
        <w:tc>
          <w:tcPr>
            <w:tcW w:w="157"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(177</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Expense (Income), Net</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(297</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1,851</w:t>
            </w:r>
          </w:p>
        </w:tc>
        <w:tc>
          <w:tcPr>
            <w:tcW w:w="157" w:type="dxa"/>
            <w:tcBorders/>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Non-Operating Expenses</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15,023</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8,654</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(22,418</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(21,208</w:t>
            </w:r>
          </w:p>
        </w:tc>
        <w:tc>
          <w:tcPr>
            <w:tcW w:w="157"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359</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181</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(22,777</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(21,390</w:t>
            </w:r>
          </w:p>
        </w:tc>
        <w:tc>
          <w:tcPr>
            <w:tcW w:w="157" w:type="dxa"/>
            <w:tcBorders/>
            <w:vAlign w:val="bottom"/>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Income/(Loss) Attributable to Noncontrolling Interests</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(60</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Attributable to Teamshares Inc.</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375" w:type="dxa"/>
            <w:tcBorders/>
            <w:vAlign w:val="bottom"/>
          </w:tcPr>
          <w:p>
            <w:pPr>
              <w:pStyle w:val="TableContents"/>
              <w:bidi w:val="0"/>
              <w:spacing w:before="0" w:after="283"/>
              <w:jc w:val="right"/>
              <w:rPr/>
            </w:pPr>
            <w:r>
              <w:rPr/>
              <w:t>(22,877</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375" w:type="dxa"/>
            <w:tcBorders/>
            <w:vAlign w:val="bottom"/>
          </w:tcPr>
          <w:p>
            <w:pPr>
              <w:pStyle w:val="TableContents"/>
              <w:bidi w:val="0"/>
              <w:spacing w:before="0" w:after="283"/>
              <w:jc w:val="right"/>
              <w:rPr/>
            </w:pPr>
            <w:r>
              <w:rPr/>
              <w:t>(21,330</w:t>
            </w:r>
          </w:p>
        </w:tc>
        <w:tc>
          <w:tcPr>
            <w:tcW w:w="157" w:type="dxa"/>
            <w:tcBorders/>
            <w:vAlign w:val="bottom"/>
          </w:tcPr>
          <w:p>
            <w:pPr>
              <w:pStyle w:val="TableContents"/>
              <w:bidi w:val="0"/>
              <w:spacing w:before="0" w:after="283"/>
              <w:jc w:val="left"/>
              <w:rPr/>
            </w:pPr>
            <w:r>
              <w:rPr/>
              <w:t>) </w:t>
            </w:r>
          </w:p>
        </w:tc>
      </w:tr>
      <w:tr>
        <w:trPr/>
        <w:tc>
          <w:tcPr>
            <w:tcW w:w="5755"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4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(22,813</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(21,265</w:t>
            </w:r>
          </w:p>
        </w:tc>
        <w:tc>
          <w:tcPr>
            <w:tcW w:w="157" w:type="dxa"/>
            <w:tcBorders/>
            <w:shd w:fill="CCEEFF" w:val="clear"/>
            <w:vAlign w:val="bottom"/>
          </w:tcPr>
          <w:p>
            <w:pPr>
              <w:pStyle w:val="TableContents"/>
              <w:bidi w:val="0"/>
              <w:spacing w:before="0" w:after="283"/>
              <w:jc w:val="left"/>
              <w:rPr/>
            </w:pPr>
            <w:r>
              <w:rPr/>
              <w:t>) </w:t>
            </w:r>
          </w:p>
        </w:tc>
      </w:tr>
      <w:tr>
        <w:trPr/>
        <w:tc>
          <w:tcPr>
            <w:tcW w:w="5755"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4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375" w:type="dxa"/>
            <w:tcBorders/>
            <w:vAlign w:val="bottom"/>
          </w:tcPr>
          <w:p>
            <w:pPr>
              <w:pStyle w:val="TableContents"/>
              <w:bidi w:val="0"/>
              <w:spacing w:before="0" w:after="283"/>
              <w:jc w:val="right"/>
              <w:rPr/>
            </w:pPr>
            <w:r>
              <w:rPr/>
              <w:t>(19.42</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375" w:type="dxa"/>
            <w:tcBorders/>
            <w:vAlign w:val="bottom"/>
          </w:tcPr>
          <w:p>
            <w:pPr>
              <w:pStyle w:val="TableContents"/>
              <w:bidi w:val="0"/>
              <w:spacing w:before="0" w:after="283"/>
              <w:jc w:val="right"/>
              <w:rPr/>
            </w:pPr>
            <w:r>
              <w:rPr/>
              <w:t>(18.30</w:t>
            </w:r>
          </w:p>
        </w:tc>
        <w:tc>
          <w:tcPr>
            <w:tcW w:w="157"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Unaudited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42" w:name="f58823_3"/>
      <w:bookmarkEnd w:id="42"/>
      <w:r>
        <w:rPr>
          <w:rFonts w:ascii="Times New Roman" w:hAnsi="Times New Roman"/>
          <w:sz w:val="20"/>
        </w:rPr>
        <w:t xml:space="preserve">CONSOLIDATED STATEMENTS OF COMPREHENSIVE LOSS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Unaudited and dollars in thousands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50"/>
        <w:gridCol w:w="475"/>
        <w:gridCol w:w="251"/>
        <w:gridCol w:w="1368"/>
        <w:gridCol w:w="155"/>
        <w:gridCol w:w="428"/>
        <w:gridCol w:w="251"/>
        <w:gridCol w:w="1368"/>
        <w:gridCol w:w="159"/>
      </w:tblGrid>
      <w:tr>
        <w:trPr/>
        <w:tc>
          <w:tcPr>
            <w:tcW w:w="5750" w:type="dxa"/>
            <w:tcBorders/>
            <w:vAlign w:val="center"/>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5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619" w:type="dxa"/>
            <w:gridSpan w:val="2"/>
            <w:tcBorders/>
            <w:vAlign w:val="bottom"/>
          </w:tcPr>
          <w:p>
            <w:pPr>
              <w:pStyle w:val="TableContents"/>
              <w:bidi w:val="0"/>
              <w:spacing w:before="0" w:after="283"/>
              <w:jc w:val="center"/>
              <w:rPr>
                <w:b/>
              </w:rPr>
            </w:pPr>
            <w:r>
              <w:rPr>
                <w:b/>
              </w:rPr>
              <w:t>For the Three</w:t>
              <w:br/>
              <w:t>Months Ended</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619" w:type="dxa"/>
            <w:gridSpan w:val="2"/>
            <w:tcBorders/>
            <w:vAlign w:val="bottom"/>
          </w:tcPr>
          <w:p>
            <w:pPr>
              <w:pStyle w:val="TableContents"/>
              <w:bidi w:val="0"/>
              <w:spacing w:before="0" w:after="283"/>
              <w:jc w:val="center"/>
              <w:rPr>
                <w:b/>
              </w:rPr>
            </w:pPr>
            <w:r>
              <w:rPr>
                <w:b/>
              </w:rPr>
              <w:t>For the Three</w:t>
              <w:br/>
              <w:t>Months Ended</w:t>
            </w:r>
          </w:p>
        </w:tc>
        <w:tc>
          <w:tcPr>
            <w:tcW w:w="159"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159"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47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368" w:type="dxa"/>
            <w:tcBorders/>
            <w:shd w:fill="CCEEFF" w:val="clear"/>
            <w:vAlign w:val="bottom"/>
          </w:tcPr>
          <w:p>
            <w:pPr>
              <w:pStyle w:val="TableContents"/>
              <w:bidi w:val="0"/>
              <w:spacing w:before="0" w:after="283"/>
              <w:jc w:val="right"/>
              <w:rPr/>
            </w:pPr>
            <w:r>
              <w:rPr/>
              <w:t>(22,777</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368" w:type="dxa"/>
            <w:tcBorders/>
            <w:shd w:fill="CCEEFF" w:val="clear"/>
            <w:vAlign w:val="bottom"/>
          </w:tcPr>
          <w:p>
            <w:pPr>
              <w:pStyle w:val="TableContents"/>
              <w:bidi w:val="0"/>
              <w:spacing w:before="0" w:after="283"/>
              <w:jc w:val="right"/>
              <w:rPr/>
            </w:pPr>
            <w:r>
              <w:rPr/>
              <w:t>(21,390</w:t>
            </w:r>
          </w:p>
        </w:tc>
        <w:tc>
          <w:tcPr>
            <w:tcW w:w="159"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(Loss) Income, net of tax:</w:t>
            </w:r>
          </w:p>
        </w:tc>
        <w:tc>
          <w:tcPr>
            <w:tcW w:w="47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3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36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47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8" w:type="dxa"/>
            <w:tcBorders/>
            <w:shd w:fill="CCEEFF" w:val="clear"/>
            <w:vAlign w:val="bottom"/>
          </w:tcPr>
          <w:p>
            <w:pPr>
              <w:pStyle w:val="TableContents"/>
              <w:bidi w:val="0"/>
              <w:spacing w:before="0" w:after="283"/>
              <w:jc w:val="right"/>
              <w:rPr/>
            </w:pPr>
            <w:r>
              <w:rPr/>
              <w:t>(1,170</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8" w:type="dxa"/>
            <w:tcBorders/>
            <w:shd w:fill="CCEEFF" w:val="clear"/>
            <w:vAlign w:val="bottom"/>
          </w:tcPr>
          <w:p>
            <w:pPr>
              <w:pStyle w:val="TableContents"/>
              <w:bidi w:val="0"/>
              <w:spacing w:before="0" w:after="283"/>
              <w:jc w:val="right"/>
              <w:rPr/>
            </w:pPr>
            <w:r>
              <w:rPr/>
              <w:t>(21</w:t>
            </w:r>
          </w:p>
        </w:tc>
        <w:tc>
          <w:tcPr>
            <w:tcW w:w="159"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(Loss) Income</w:t>
            </w:r>
          </w:p>
        </w:tc>
        <w:tc>
          <w:tcPr>
            <w:tcW w:w="47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8" w:type="dxa"/>
            <w:tcBorders/>
            <w:vAlign w:val="bottom"/>
          </w:tcPr>
          <w:p>
            <w:pPr>
              <w:pStyle w:val="TableContents"/>
              <w:bidi w:val="0"/>
              <w:spacing w:before="0" w:after="283"/>
              <w:jc w:val="right"/>
              <w:rPr/>
            </w:pPr>
            <w:r>
              <w:rPr/>
              <w:t>(1,170</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8" w:type="dxa"/>
            <w:tcBorders/>
            <w:vAlign w:val="bottom"/>
          </w:tcPr>
          <w:p>
            <w:pPr>
              <w:pStyle w:val="TableContents"/>
              <w:bidi w:val="0"/>
              <w:spacing w:before="0" w:after="283"/>
              <w:jc w:val="right"/>
              <w:rPr/>
            </w:pPr>
            <w:r>
              <w:rPr/>
              <w:t>(21</w:t>
            </w:r>
          </w:p>
        </w:tc>
        <w:tc>
          <w:tcPr>
            <w:tcW w:w="159"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Comprehensive Loss Including Noncontrolling Interests</w:t>
            </w:r>
          </w:p>
        </w:tc>
        <w:tc>
          <w:tcPr>
            <w:tcW w:w="47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8" w:type="dxa"/>
            <w:tcBorders/>
            <w:shd w:fill="CCEEFF" w:val="clear"/>
            <w:vAlign w:val="bottom"/>
          </w:tcPr>
          <w:p>
            <w:pPr>
              <w:pStyle w:val="TableContents"/>
              <w:bidi w:val="0"/>
              <w:spacing w:before="0" w:after="283"/>
              <w:jc w:val="right"/>
              <w:rPr/>
            </w:pPr>
            <w:r>
              <w:rPr/>
              <w:t>(23,947</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8" w:type="dxa"/>
            <w:tcBorders/>
            <w:shd w:fill="CCEEFF" w:val="clear"/>
            <w:vAlign w:val="bottom"/>
          </w:tcPr>
          <w:p>
            <w:pPr>
              <w:pStyle w:val="TableContents"/>
              <w:bidi w:val="0"/>
              <w:spacing w:before="0" w:after="283"/>
              <w:jc w:val="right"/>
              <w:rPr/>
            </w:pPr>
            <w:r>
              <w:rPr/>
              <w:t>(21,411</w:t>
            </w:r>
          </w:p>
        </w:tc>
        <w:tc>
          <w:tcPr>
            <w:tcW w:w="159"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(Gain)/Loss Attributable to Noncontrolling Interests</w:t>
            </w:r>
          </w:p>
        </w:tc>
        <w:tc>
          <w:tcPr>
            <w:tcW w:w="47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8"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8" w:type="dxa"/>
            <w:tcBorders/>
            <w:vAlign w:val="bottom"/>
          </w:tcPr>
          <w:p>
            <w:pPr>
              <w:pStyle w:val="TableContents"/>
              <w:bidi w:val="0"/>
              <w:spacing w:before="0" w:after="283"/>
              <w:jc w:val="right"/>
              <w:rPr/>
            </w:pPr>
            <w:r>
              <w:rPr/>
              <w:t>(60</w:t>
            </w:r>
          </w:p>
        </w:tc>
        <w:tc>
          <w:tcPr>
            <w:tcW w:w="159"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Comprehensive Loss Attributable to Teamshares Inc.</w:t>
            </w:r>
          </w:p>
        </w:tc>
        <w:tc>
          <w:tcPr>
            <w:tcW w:w="47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368" w:type="dxa"/>
            <w:tcBorders/>
            <w:shd w:fill="CCEEFF" w:val="clear"/>
            <w:vAlign w:val="bottom"/>
          </w:tcPr>
          <w:p>
            <w:pPr>
              <w:pStyle w:val="TableContents"/>
              <w:bidi w:val="0"/>
              <w:spacing w:before="0" w:after="283"/>
              <w:jc w:val="right"/>
              <w:rPr/>
            </w:pPr>
            <w:r>
              <w:rPr/>
              <w:t>(24,047</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368" w:type="dxa"/>
            <w:tcBorders/>
            <w:shd w:fill="CCEEFF" w:val="clear"/>
            <w:vAlign w:val="bottom"/>
          </w:tcPr>
          <w:p>
            <w:pPr>
              <w:pStyle w:val="TableContents"/>
              <w:bidi w:val="0"/>
              <w:spacing w:before="0" w:after="283"/>
              <w:jc w:val="right"/>
              <w:rPr/>
            </w:pPr>
            <w:r>
              <w:rPr/>
              <w:t>(21,351</w:t>
            </w:r>
          </w:p>
        </w:tc>
        <w:tc>
          <w:tcPr>
            <w:tcW w:w="159"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Unaudited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43" w:name="f58823_4"/>
      <w:bookmarkEnd w:id="43"/>
      <w:r>
        <w:rPr>
          <w:rFonts w:ascii="Times New Roman" w:hAnsi="Times New Roman"/>
          <w:sz w:val="20"/>
        </w:rPr>
        <w:t xml:space="preserve">CONSOLIDATED STATEMENTS OF STOCKHOLDERS’ EQUITY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Unaudited and in thousands except shares and par value</w:t>
      </w:r>
      <w:r>
        <w:rPr>
          <w:rFonts w:ascii="Times New Roman" w:hAnsi="Times New Roman"/>
          <w:sz w:val="20"/>
        </w:rPr>
        <w:t xml:space="preserve">) </w:t>
      </w:r>
    </w:p>
    <w:p>
      <w:pPr>
        <w:pStyle w:val="TextBody"/>
        <w:bidi w:val="0"/>
        <w:spacing w:before="0" w:after="0"/>
        <w:jc w:val="left"/>
        <w:rPr/>
      </w:pPr>
      <w:r>
        <w:rPr/>
        <w:t> </w:t>
      </w:r>
    </w:p>
    <w:tbl>
      <w:tblPr>
        <w:tblW w:w="15695" w:type="dxa"/>
        <w:jc w:val="center"/>
        <w:tblInd w:w="0" w:type="dxa"/>
        <w:tblLayout w:type="fixed"/>
        <w:tblCellMar>
          <w:top w:w="0" w:type="dxa"/>
          <w:left w:w="0" w:type="dxa"/>
          <w:bottom w:w="0" w:type="dxa"/>
          <w:right w:w="0" w:type="dxa"/>
        </w:tblCellMar>
      </w:tblPr>
      <w:tblGrid>
        <w:gridCol w:w="950"/>
        <w:gridCol w:w="60"/>
        <w:gridCol w:w="310"/>
        <w:gridCol w:w="1240"/>
        <w:gridCol w:w="155"/>
        <w:gridCol w:w="60"/>
        <w:gridCol w:w="60"/>
        <w:gridCol w:w="980"/>
        <w:gridCol w:w="60"/>
        <w:gridCol w:w="60"/>
        <w:gridCol w:w="166"/>
        <w:gridCol w:w="454"/>
        <w:gridCol w:w="60"/>
        <w:gridCol w:w="60"/>
        <w:gridCol w:w="60"/>
        <w:gridCol w:w="980"/>
        <w:gridCol w:w="60"/>
        <w:gridCol w:w="60"/>
        <w:gridCol w:w="166"/>
        <w:gridCol w:w="454"/>
        <w:gridCol w:w="60"/>
        <w:gridCol w:w="60"/>
        <w:gridCol w:w="163"/>
        <w:gridCol w:w="937"/>
        <w:gridCol w:w="60"/>
        <w:gridCol w:w="60"/>
        <w:gridCol w:w="188"/>
        <w:gridCol w:w="1182"/>
        <w:gridCol w:w="155"/>
        <w:gridCol w:w="60"/>
        <w:gridCol w:w="290"/>
        <w:gridCol w:w="1320"/>
        <w:gridCol w:w="155"/>
        <w:gridCol w:w="60"/>
        <w:gridCol w:w="210"/>
        <w:gridCol w:w="1205"/>
        <w:gridCol w:w="155"/>
        <w:gridCol w:w="60"/>
        <w:gridCol w:w="280"/>
        <w:gridCol w:w="1270"/>
        <w:gridCol w:w="155"/>
        <w:gridCol w:w="60"/>
        <w:gridCol w:w="140"/>
        <w:gridCol w:w="800"/>
        <w:gridCol w:w="155"/>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Redeemable</w:t>
              <w:br/>
              <w:t>Noncontrolling</w:t>
              <w:br/>
              <w:t>Interest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 Gain</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Equity</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55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Noncontrolling</w:t>
              <w:br/>
              <w:t>Interests</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94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Equity</w:t>
            </w:r>
          </w:p>
        </w:tc>
        <w:tc>
          <w:tcPr>
            <w:tcW w:w="155" w:type="dxa"/>
            <w:vMerge w:val="restart"/>
            <w:tcBorders/>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w:t>
              <w:b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w:t>
              <w:br/>
              <w:t>Value</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1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55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9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950" w:type="dxa"/>
            <w:tcBorders/>
            <w:shd w:fill="CCEEFF" w:val="clear"/>
          </w:tcPr>
          <w:p>
            <w:pPr>
              <w:pStyle w:val="TableContents"/>
              <w:bidi w:val="0"/>
              <w:spacing w:before="0" w:after="0"/>
              <w:jc w:val="left"/>
              <w:rPr>
                <w:rFonts w:ascii="Times New Roman" w:hAnsi="Times New Roman"/>
                <w:b/>
                <w:sz w:val="15"/>
              </w:rPr>
            </w:pPr>
            <w:r>
              <w:rPr>
                <w:rFonts w:ascii="Times New Roman" w:hAnsi="Times New Roman"/>
                <w:b/>
                <w:sz w:val="15"/>
              </w:rPr>
              <w:t>Balances, January 1, 2025</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4,194</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7,740,549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right"/>
              <w:rPr/>
            </w:pPr>
            <w:r>
              <w:rPr/>
              <w:t>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1,162,180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324,200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(195,856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(159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128,184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(476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127,708</w:t>
            </w:r>
          </w:p>
        </w:tc>
        <w:tc>
          <w:tcPr>
            <w:tcW w:w="155" w:type="dxa"/>
            <w:tcBorders/>
            <w:shd w:fill="CCEEFF" w:val="clear"/>
            <w:vAlign w:val="bottom"/>
          </w:tcPr>
          <w:p>
            <w:pPr>
              <w:pStyle w:val="TableContents"/>
              <w:bidi w:val="0"/>
              <w:spacing w:before="0" w:after="283"/>
              <w:jc w:val="left"/>
              <w:rPr/>
            </w:pPr>
            <w:r>
              <w:rPr/>
              <w:t> </w:t>
            </w:r>
          </w:p>
        </w:tc>
      </w:tr>
      <w:tr>
        <w:trPr/>
        <w:tc>
          <w:tcPr>
            <w:tcW w:w="950" w:type="dxa"/>
            <w:tcBorders/>
          </w:tcPr>
          <w:p>
            <w:pPr>
              <w:pStyle w:val="TableContents"/>
              <w:bidi w:val="0"/>
              <w:spacing w:before="0" w:after="0"/>
              <w:jc w:val="left"/>
              <w:rPr>
                <w:rFonts w:ascii="Times New Roman" w:hAnsi="Times New Roman"/>
                <w:sz w:val="15"/>
              </w:rPr>
            </w:pPr>
            <w:r>
              <w:rPr>
                <w:rFonts w:ascii="Times New Roman" w:hAnsi="Times New Roman"/>
                <w:sz w:val="15"/>
              </w:rPr>
              <w:t>Exercise of Common Stock Options for Cash</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Issuance of Series E-1 Convertible Preferred Stock, Net</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13,060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r>
      <w:tr>
        <w:trPr/>
        <w:tc>
          <w:tcPr>
            <w:tcW w:w="950" w:type="dxa"/>
            <w:tcBorders/>
          </w:tcPr>
          <w:p>
            <w:pPr>
              <w:pStyle w:val="TableContents"/>
              <w:bidi w:val="0"/>
              <w:spacing w:before="0" w:after="0"/>
              <w:jc w:val="left"/>
              <w:rPr>
                <w:rFonts w:ascii="Times New Roman" w:hAnsi="Times New Roman"/>
                <w:sz w:val="15"/>
              </w:rPr>
            </w:pPr>
            <w:r>
              <w:rPr>
                <w:rFonts w:ascii="Times New Roman" w:hAnsi="Times New Roman"/>
                <w:sz w:val="15"/>
              </w:rPr>
              <w:t>Stock-Based Compensation</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611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611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375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986</w:t>
            </w:r>
          </w:p>
        </w:tc>
        <w:tc>
          <w:tcPr>
            <w:tcW w:w="155"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Dividends to Noncontrolling Interests</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(18</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(224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(224</w:t>
            </w:r>
          </w:p>
        </w:tc>
        <w:tc>
          <w:tcPr>
            <w:tcW w:w="155" w:type="dxa"/>
            <w:tcBorders/>
            <w:shd w:fill="CCEEFF" w:val="clear"/>
            <w:vAlign w:val="bottom"/>
          </w:tcPr>
          <w:p>
            <w:pPr>
              <w:pStyle w:val="TableContents"/>
              <w:bidi w:val="0"/>
              <w:spacing w:before="0" w:after="283"/>
              <w:jc w:val="left"/>
              <w:rPr/>
            </w:pPr>
            <w:r>
              <w:rPr/>
              <w:t>) </w:t>
            </w:r>
          </w:p>
        </w:tc>
      </w:tr>
      <w:tr>
        <w:trPr/>
        <w:tc>
          <w:tcPr>
            <w:tcW w:w="950" w:type="dxa"/>
            <w:tcBorders/>
          </w:tcPr>
          <w:p>
            <w:pPr>
              <w:pStyle w:val="TableContents"/>
              <w:bidi w:val="0"/>
              <w:spacing w:before="0" w:after="0"/>
              <w:jc w:val="left"/>
              <w:rPr>
                <w:rFonts w:ascii="Times New Roman" w:hAnsi="Times New Roman"/>
                <w:sz w:val="15"/>
              </w:rPr>
            </w:pPr>
            <w:r>
              <w:rPr>
                <w:rFonts w:ascii="Times New Roman" w:hAnsi="Times New Roman"/>
                <w:sz w:val="15"/>
              </w:rPr>
              <w:t>Noncontrolling Interest Repurchases and Adjustments</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(65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(409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(511</w:t>
            </w:r>
          </w:p>
        </w:tc>
        <w:tc>
          <w:tcPr>
            <w:tcW w:w="155"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Net (Loss) Income</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121</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(21,330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(21,330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(21,511</w:t>
            </w:r>
          </w:p>
        </w:tc>
        <w:tc>
          <w:tcPr>
            <w:tcW w:w="155" w:type="dxa"/>
            <w:tcBorders/>
            <w:shd w:fill="CCEEFF" w:val="clear"/>
            <w:vAlign w:val="bottom"/>
          </w:tcPr>
          <w:p>
            <w:pPr>
              <w:pStyle w:val="TableContents"/>
              <w:bidi w:val="0"/>
              <w:spacing w:before="0" w:after="283"/>
              <w:jc w:val="left"/>
              <w:rPr/>
            </w:pPr>
            <w:r>
              <w:rPr/>
              <w:t>) </w:t>
            </w:r>
          </w:p>
        </w:tc>
      </w:tr>
      <w:tr>
        <w:trPr/>
        <w:tc>
          <w:tcPr>
            <w:tcW w:w="950" w:type="dxa"/>
            <w:tcBorders/>
          </w:tcPr>
          <w:p>
            <w:pPr>
              <w:pStyle w:val="TableContents"/>
              <w:bidi w:val="0"/>
              <w:spacing w:before="0" w:after="0"/>
              <w:jc w:val="left"/>
              <w:rPr>
                <w:rFonts w:ascii="Times New Roman" w:hAnsi="Times New Roman"/>
                <w:sz w:val="15"/>
              </w:rPr>
            </w:pPr>
            <w:r>
              <w:rPr>
                <w:rFonts w:ascii="Times New Roman" w:hAnsi="Times New Roman"/>
                <w:sz w:val="15"/>
              </w:rPr>
              <w:t>Other Comprehensive Loss</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b/>
                <w:sz w:val="15"/>
              </w:rPr>
            </w:pPr>
            <w:r>
              <w:rPr>
                <w:rFonts w:ascii="Times New Roman" w:hAnsi="Times New Roman"/>
                <w:b/>
                <w:sz w:val="15"/>
              </w:rPr>
              <w:t>Balances, March 31, 2025</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4,232</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7,753,609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right"/>
              <w:rPr/>
            </w:pPr>
            <w:r>
              <w:rPr/>
              <w:t>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1,162,198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325,811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(217,186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(180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108,444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(914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107,530</w:t>
            </w:r>
          </w:p>
        </w:tc>
        <w:tc>
          <w:tcPr>
            <w:tcW w:w="155" w:type="dxa"/>
            <w:tcBorders/>
            <w:shd w:fill="CCEEFF" w:val="clear"/>
            <w:vAlign w:val="bottom"/>
          </w:tcPr>
          <w:p>
            <w:pPr>
              <w:pStyle w:val="TableContents"/>
              <w:bidi w:val="0"/>
              <w:spacing w:before="0" w:after="283"/>
              <w:jc w:val="left"/>
              <w:rPr/>
            </w:pPr>
            <w:r>
              <w:rPr/>
              <w:t> </w:t>
            </w:r>
          </w:p>
        </w:tc>
      </w:tr>
      <w:tr>
        <w:trPr/>
        <w:tc>
          <w:tcPr>
            <w:tcW w:w="950" w:type="dxa"/>
            <w:tcBorders/>
          </w:tcPr>
          <w:p>
            <w:pPr>
              <w:pStyle w:val="TableContents"/>
              <w:bidi w:val="0"/>
              <w:spacing w:before="0" w:after="0"/>
              <w:jc w:val="left"/>
              <w:rPr>
                <w:rFonts w:ascii="Times New Roman" w:hAnsi="Times New Roman"/>
                <w:b/>
                <w:sz w:val="15"/>
              </w:rPr>
            </w:pPr>
            <w:r>
              <w:rPr>
                <w:rFonts w:ascii="Times New Roman" w:hAnsi="Times New Roman"/>
                <w:b/>
                <w:sz w:val="15"/>
              </w:rPr>
              <w:t>Balances, January 1, 2026</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w:t>
            </w:r>
          </w:p>
        </w:tc>
        <w:tc>
          <w:tcPr>
            <w:tcW w:w="1240" w:type="dxa"/>
            <w:tcBorders/>
            <w:vAlign w:val="bottom"/>
          </w:tcPr>
          <w:p>
            <w:pPr>
              <w:pStyle w:val="TableContents"/>
              <w:bidi w:val="0"/>
              <w:spacing w:before="0" w:after="283"/>
              <w:jc w:val="right"/>
              <w:rPr/>
            </w:pPr>
            <w:r>
              <w:rPr/>
              <w:t>2,451</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7,758,235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1,174,429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327,843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(261,775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(128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65,941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(2,308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63,633</w:t>
            </w:r>
          </w:p>
        </w:tc>
        <w:tc>
          <w:tcPr>
            <w:tcW w:w="155"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Stock-Based Compensation</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627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627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310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936</w:t>
            </w:r>
          </w:p>
        </w:tc>
        <w:tc>
          <w:tcPr>
            <w:tcW w:w="155" w:type="dxa"/>
            <w:tcBorders/>
            <w:shd w:fill="CCEEFF" w:val="clear"/>
            <w:vAlign w:val="bottom"/>
          </w:tcPr>
          <w:p>
            <w:pPr>
              <w:pStyle w:val="TableContents"/>
              <w:bidi w:val="0"/>
              <w:spacing w:before="0" w:after="283"/>
              <w:jc w:val="left"/>
              <w:rPr/>
            </w:pPr>
            <w:r>
              <w:rPr/>
              <w:t> </w:t>
            </w:r>
          </w:p>
        </w:tc>
      </w:tr>
      <w:tr>
        <w:trPr/>
        <w:tc>
          <w:tcPr>
            <w:tcW w:w="950" w:type="dxa"/>
            <w:tcBorders/>
          </w:tcPr>
          <w:p>
            <w:pPr>
              <w:pStyle w:val="TableContents"/>
              <w:bidi w:val="0"/>
              <w:spacing w:before="0" w:after="0"/>
              <w:jc w:val="left"/>
              <w:rPr>
                <w:rFonts w:ascii="Times New Roman" w:hAnsi="Times New Roman"/>
                <w:sz w:val="15"/>
              </w:rPr>
            </w:pPr>
            <w:r>
              <w:rPr>
                <w:rFonts w:ascii="Times New Roman" w:hAnsi="Times New Roman"/>
                <w:sz w:val="15"/>
              </w:rPr>
              <w:t>Dividends to Noncontrolling Interests</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(11</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(412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(412</w:t>
            </w:r>
          </w:p>
        </w:tc>
        <w:tc>
          <w:tcPr>
            <w:tcW w:w="155"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Noncontrolling Interest Repurchases and Adjustments</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(682</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(207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r>
      <w:tr>
        <w:trPr/>
        <w:tc>
          <w:tcPr>
            <w:tcW w:w="950" w:type="dxa"/>
            <w:tcBorders/>
          </w:tcPr>
          <w:p>
            <w:pPr>
              <w:pStyle w:val="TableContents"/>
              <w:bidi w:val="0"/>
              <w:spacing w:before="0" w:after="0"/>
              <w:jc w:val="left"/>
              <w:rPr>
                <w:rFonts w:ascii="Times New Roman" w:hAnsi="Times New Roman"/>
                <w:sz w:val="15"/>
              </w:rPr>
            </w:pPr>
            <w:r>
              <w:rPr>
                <w:rFonts w:ascii="Times New Roman" w:hAnsi="Times New Roman"/>
                <w:sz w:val="15"/>
              </w:rPr>
              <w:t>Net (Loss) Income</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4</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(22,877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(22,877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(22,781</w:t>
            </w:r>
          </w:p>
        </w:tc>
        <w:tc>
          <w:tcPr>
            <w:tcW w:w="155"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Other Comprehensive Loss</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(1,170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(1,170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(1,170</w:t>
            </w:r>
          </w:p>
        </w:tc>
        <w:tc>
          <w:tcPr>
            <w:tcW w:w="155"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50" w:type="dxa"/>
            <w:tcBorders/>
          </w:tcPr>
          <w:p>
            <w:pPr>
              <w:pStyle w:val="TableContents"/>
              <w:bidi w:val="0"/>
              <w:spacing w:before="0" w:after="0"/>
              <w:jc w:val="left"/>
              <w:rPr>
                <w:rFonts w:ascii="Times New Roman" w:hAnsi="Times New Roman"/>
                <w:b/>
                <w:sz w:val="15"/>
              </w:rPr>
            </w:pPr>
            <w:r>
              <w:rPr>
                <w:rFonts w:ascii="Times New Roman" w:hAnsi="Times New Roman"/>
                <w:b/>
                <w:sz w:val="15"/>
              </w:rPr>
              <w:t>Balances, March 31, 2026</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w:t>
            </w:r>
          </w:p>
        </w:tc>
        <w:tc>
          <w:tcPr>
            <w:tcW w:w="1240" w:type="dxa"/>
            <w:tcBorders/>
            <w:vAlign w:val="bottom"/>
          </w:tcPr>
          <w:p>
            <w:pPr>
              <w:pStyle w:val="TableContents"/>
              <w:bidi w:val="0"/>
              <w:spacing w:before="0" w:after="283"/>
              <w:jc w:val="right"/>
              <w:rPr/>
            </w:pPr>
            <w:r>
              <w:rPr/>
              <w:t>1,762</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7,758,235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1,174,429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328,634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(284,652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(1,298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42,684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(2,521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40,163</w:t>
            </w:r>
          </w:p>
        </w:tc>
        <w:tc>
          <w:tcPr>
            <w:tcW w:w="155" w:type="dxa"/>
            <w:tcBorders/>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44" w:name="f58823_5"/>
      <w:bookmarkEnd w:id="44"/>
      <w:r>
        <w:rPr>
          <w:rFonts w:ascii="Times New Roman" w:hAnsi="Times New Roman"/>
          <w:sz w:val="20"/>
        </w:rPr>
        <w:t xml:space="preserve">CONSOLIDATED STATEMENTS OF CASH FLOWS </w:t>
      </w:r>
    </w:p>
    <w:p>
      <w:pPr>
        <w:pStyle w:val="TextBody"/>
        <w:bidi w:val="0"/>
        <w:spacing w:before="0" w:after="0"/>
        <w:jc w:val="center"/>
        <w:rPr>
          <w:rFonts w:ascii="Times New Roman" w:hAnsi="Times New Roman"/>
          <w:sz w:val="20"/>
        </w:rPr>
      </w:pPr>
      <w:r>
        <w:rPr>
          <w:rFonts w:ascii="Times New Roman" w:hAnsi="Times New Roman"/>
          <w:i/>
          <w:sz w:val="20"/>
        </w:rPr>
        <w:t>(Unaudited and dollars in thousands)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50"/>
        <w:gridCol w:w="478"/>
        <w:gridCol w:w="251"/>
        <w:gridCol w:w="1365"/>
        <w:gridCol w:w="155"/>
        <w:gridCol w:w="432"/>
        <w:gridCol w:w="251"/>
        <w:gridCol w:w="1365"/>
        <w:gridCol w:w="158"/>
      </w:tblGrid>
      <w:tr>
        <w:trPr/>
        <w:tc>
          <w:tcPr>
            <w:tcW w:w="5750" w:type="dxa"/>
            <w:tcBorders/>
            <w:vAlign w:val="center"/>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5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616" w:type="dxa"/>
            <w:gridSpan w:val="2"/>
            <w:tcBorders/>
            <w:vAlign w:val="bottom"/>
          </w:tcPr>
          <w:p>
            <w:pPr>
              <w:pStyle w:val="TableContents"/>
              <w:bidi w:val="0"/>
              <w:spacing w:before="0" w:after="283"/>
              <w:jc w:val="center"/>
              <w:rPr>
                <w:b/>
              </w:rPr>
            </w:pPr>
            <w:r>
              <w:rPr>
                <w:b/>
              </w:rPr>
              <w:t>For the Three</w:t>
              <w:br/>
              <w:t>Months Ended</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616" w:type="dxa"/>
            <w:gridSpan w:val="2"/>
            <w:tcBorders/>
            <w:vAlign w:val="bottom"/>
          </w:tcPr>
          <w:p>
            <w:pPr>
              <w:pStyle w:val="TableContents"/>
              <w:bidi w:val="0"/>
              <w:spacing w:before="0" w:after="283"/>
              <w:jc w:val="center"/>
              <w:rPr>
                <w:b/>
              </w:rPr>
            </w:pPr>
            <w:r>
              <w:rPr>
                <w:b/>
              </w:rPr>
              <w:t>For the Three</w:t>
              <w:br/>
              <w:t>Months Ended</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6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6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365" w:type="dxa"/>
            <w:tcBorders/>
            <w:vAlign w:val="bottom"/>
          </w:tcPr>
          <w:p>
            <w:pPr>
              <w:pStyle w:val="TableContents"/>
              <w:bidi w:val="0"/>
              <w:spacing w:before="0" w:after="283"/>
              <w:jc w:val="right"/>
              <w:rPr/>
            </w:pPr>
            <w:r>
              <w:rPr/>
              <w:t>(22,777</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365" w:type="dxa"/>
            <w:tcBorders/>
            <w:vAlign w:val="bottom"/>
          </w:tcPr>
          <w:p>
            <w:pPr>
              <w:pStyle w:val="TableContents"/>
              <w:bidi w:val="0"/>
              <w:spacing w:before="0" w:after="283"/>
              <w:jc w:val="right"/>
              <w:rPr/>
            </w:pPr>
            <w:r>
              <w:rPr/>
              <w:t>(21,390</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2,848</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2,832</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Stock-Based Compensation Expense</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936</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993</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7,410</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471</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2,980</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Loss/(Gain) on Disposition of Assets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(203</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435</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(324</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 Net of Payments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(305</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(629</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 Net of Acquisitions: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(2,133</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(2,970</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(1,653</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(2,417</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1,408</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350</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6,782</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(3,523</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4,548</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961</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b/>
              </w:rPr>
            </w:pPr>
            <w:r>
              <w:rPr>
                <w:b/>
              </w:rPr>
              <w:t>(3,179</w:t>
            </w:r>
          </w:p>
        </w:tc>
        <w:tc>
          <w:tcPr>
            <w:tcW w:w="155" w:type="dxa"/>
            <w:tcBorders/>
            <w:shd w:fill="CCEEFF" w:val="clear"/>
            <w:vAlign w:val="bottom"/>
          </w:tcPr>
          <w:p>
            <w:pPr>
              <w:pStyle w:val="TableContents"/>
              <w:bidi w:val="0"/>
              <w:spacing w:before="0" w:after="283"/>
              <w:jc w:val="left"/>
              <w:rPr>
                <w:b/>
              </w:rPr>
            </w:pPr>
            <w:r>
              <w:rPr>
                <w:b/>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b/>
              </w:rPr>
            </w:pPr>
            <w:r>
              <w:rPr>
                <w:b/>
              </w:rPr>
              <w:t>(22,233</w:t>
            </w:r>
          </w:p>
        </w:tc>
        <w:tc>
          <w:tcPr>
            <w:tcW w:w="158" w:type="dxa"/>
            <w:tcBorders/>
            <w:shd w:fill="CCEEFF" w:val="clear"/>
            <w:vAlign w:val="bottom"/>
          </w:tcPr>
          <w:p>
            <w:pPr>
              <w:pStyle w:val="TableContents"/>
              <w:bidi w:val="0"/>
              <w:spacing w:before="0" w:after="283"/>
              <w:jc w:val="left"/>
              <w:rPr>
                <w:b/>
              </w:rPr>
            </w:pPr>
            <w:r>
              <w:rPr>
                <w:b/>
              </w:rPr>
              <w:t>) </w:t>
            </w:r>
          </w:p>
        </w:tc>
      </w:tr>
      <w:tr>
        <w:trPr/>
        <w:tc>
          <w:tcPr>
            <w:tcW w:w="575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3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36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(1,336</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(510</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Business Acquisitions, Net of Cash Received</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(1,375</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(9,334</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to Internally Developed Software</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(501</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(768</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b/>
              </w:rPr>
            </w:pPr>
            <w:r>
              <w:rPr>
                <w:b/>
              </w:rPr>
              <w:t>(3,212</w:t>
            </w:r>
          </w:p>
        </w:tc>
        <w:tc>
          <w:tcPr>
            <w:tcW w:w="155" w:type="dxa"/>
            <w:tcBorders/>
            <w:vAlign w:val="bottom"/>
          </w:tcPr>
          <w:p>
            <w:pPr>
              <w:pStyle w:val="TableContents"/>
              <w:bidi w:val="0"/>
              <w:spacing w:before="0" w:after="283"/>
              <w:jc w:val="left"/>
              <w:rPr>
                <w:b/>
              </w:rPr>
            </w:pPr>
            <w:r>
              <w:rPr>
                <w:b/>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b/>
              </w:rPr>
            </w:pPr>
            <w:r>
              <w:rPr>
                <w:b/>
              </w:rPr>
              <w:t>(10,613</w:t>
            </w:r>
          </w:p>
        </w:tc>
        <w:tc>
          <w:tcPr>
            <w:tcW w:w="158" w:type="dxa"/>
            <w:tcBorders/>
            <w:vAlign w:val="bottom"/>
          </w:tcPr>
          <w:p>
            <w:pPr>
              <w:pStyle w:val="TableContents"/>
              <w:bidi w:val="0"/>
              <w:spacing w:before="0" w:after="283"/>
              <w:jc w:val="left"/>
              <w:rPr>
                <w:b/>
              </w:rPr>
            </w:pPr>
            <w:r>
              <w:rPr>
                <w:b/>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Borrowings Under Credit Facilities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3,000</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2,892</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Borrowings Under Other Debt Instruments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754</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10,939</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Other Debt Instruments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(2,395</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(77</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SAFE Notes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1,100</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Preferred Stock, Net</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1,000</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to Noncontrolling Interests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(423</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(242</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Acquisitions of Noncontrolling Interests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(724</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(474</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Debt Issuance Costs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 Payments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(546</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(55</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b/>
              </w:rPr>
            </w:pPr>
            <w:r>
              <w:rPr>
                <w:b/>
              </w:rPr>
              <w:t>665</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b/>
              </w:rPr>
            </w:pPr>
            <w:r>
              <w:rPr>
                <w:b/>
              </w:rPr>
              <w:t>13,984</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(116</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Cash Equivalents and Restricted Cash</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b/>
              </w:rPr>
            </w:pPr>
            <w:r>
              <w:rPr>
                <w:b/>
              </w:rPr>
              <w:t>(5,842</w:t>
            </w:r>
          </w:p>
        </w:tc>
        <w:tc>
          <w:tcPr>
            <w:tcW w:w="155" w:type="dxa"/>
            <w:tcBorders/>
            <w:shd w:fill="CCEEFF" w:val="clear"/>
            <w:vAlign w:val="bottom"/>
          </w:tcPr>
          <w:p>
            <w:pPr>
              <w:pStyle w:val="TableContents"/>
              <w:bidi w:val="0"/>
              <w:spacing w:before="0" w:after="283"/>
              <w:jc w:val="left"/>
              <w:rPr>
                <w:b/>
              </w:rPr>
            </w:pPr>
            <w:r>
              <w:rPr>
                <w:b/>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b/>
              </w:rPr>
            </w:pPr>
            <w:r>
              <w:rPr>
                <w:b/>
              </w:rPr>
              <w:t>(18,862</w:t>
            </w:r>
          </w:p>
        </w:tc>
        <w:tc>
          <w:tcPr>
            <w:tcW w:w="158" w:type="dxa"/>
            <w:tcBorders/>
            <w:shd w:fill="CCEEFF" w:val="clear"/>
            <w:vAlign w:val="bottom"/>
          </w:tcPr>
          <w:p>
            <w:pPr>
              <w:pStyle w:val="TableContents"/>
              <w:bidi w:val="0"/>
              <w:spacing w:before="0" w:after="283"/>
              <w:jc w:val="left"/>
              <w:rPr>
                <w:b/>
              </w:rPr>
            </w:pPr>
            <w:r>
              <w:rPr>
                <w:b/>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54,097</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75,509</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b/>
              </w:rPr>
            </w:pPr>
            <w:r>
              <w:rPr>
                <w:b/>
              </w:rPr>
              <w:t>48,255</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b/>
              </w:rPr>
            </w:pPr>
            <w:r>
              <w:rPr>
                <w:b/>
              </w:rPr>
              <w:t>56,647</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Disclosures of Cash Flow Information:</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3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36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365" w:type="dxa"/>
            <w:tcBorders/>
            <w:shd w:fill="CCEEFF" w:val="clear"/>
            <w:vAlign w:val="bottom"/>
          </w:tcPr>
          <w:p>
            <w:pPr>
              <w:pStyle w:val="TableContents"/>
              <w:bidi w:val="0"/>
              <w:spacing w:before="0" w:after="283"/>
              <w:jc w:val="right"/>
              <w:rPr/>
            </w:pPr>
            <w:r>
              <w:rPr/>
              <w:t>8,264</w:t>
            </w:r>
          </w:p>
        </w:tc>
        <w:tc>
          <w:tcPr>
            <w:tcW w:w="155"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365" w:type="dxa"/>
            <w:tcBorders/>
            <w:shd w:fill="CCEEFF" w:val="clear"/>
            <w:vAlign w:val="bottom"/>
          </w:tcPr>
          <w:p>
            <w:pPr>
              <w:pStyle w:val="TableContents"/>
              <w:bidi w:val="0"/>
              <w:spacing w:before="0" w:after="283"/>
              <w:jc w:val="right"/>
              <w:rPr/>
            </w:pPr>
            <w:r>
              <w:rPr/>
              <w:t>6,900</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Paid</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365" w:type="dxa"/>
            <w:tcBorders/>
            <w:vAlign w:val="bottom"/>
          </w:tcPr>
          <w:p>
            <w:pPr>
              <w:pStyle w:val="TableContents"/>
              <w:bidi w:val="0"/>
              <w:spacing w:before="0" w:after="283"/>
              <w:jc w:val="right"/>
              <w:rPr/>
            </w:pPr>
            <w:r>
              <w:rPr/>
              <w:t>92</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365" w:type="dxa"/>
            <w:tcBorders/>
            <w:vAlign w:val="bottom"/>
          </w:tcPr>
          <w:p>
            <w:pPr>
              <w:pStyle w:val="TableContents"/>
              <w:bidi w:val="0"/>
              <w:spacing w:before="0" w:after="283"/>
              <w:jc w:val="right"/>
              <w:rPr/>
            </w:pPr>
            <w:r>
              <w:rPr/>
              <w:t>14</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Non-Cash Activity:</w:t>
            </w:r>
          </w:p>
        </w:tc>
        <w:tc>
          <w:tcPr>
            <w:tcW w:w="47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2"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Debt Assumed to Acquire Operating Subsidiaries</w:t>
            </w:r>
          </w:p>
        </w:tc>
        <w:tc>
          <w:tcPr>
            <w:tcW w:w="47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365"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365" w:type="dxa"/>
            <w:tcBorders/>
            <w:vAlign w:val="bottom"/>
          </w:tcPr>
          <w:p>
            <w:pPr>
              <w:pStyle w:val="TableContents"/>
              <w:bidi w:val="0"/>
              <w:spacing w:before="0" w:after="283"/>
              <w:jc w:val="right"/>
              <w:rPr/>
            </w:pPr>
            <w:r>
              <w:rPr/>
              <w:t>22,550</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45" w:name="f58823_6"/>
      <w:bookmarkEnd w:id="45"/>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240" w:after="0"/>
        <w:jc w:val="left"/>
        <w:rPr>
          <w:rFonts w:ascii="Times New Roman" w:hAnsi="Times New Roman"/>
          <w:b/>
          <w:sz w:val="20"/>
        </w:rPr>
      </w:pPr>
      <w:r>
        <w:rPr>
          <w:rFonts w:ascii="Times New Roman" w:hAnsi="Times New Roman"/>
          <w:b/>
          <w:sz w:val="20"/>
        </w:rPr>
        <w:t xml:space="preserve">NOTE 1—Basis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consolidated financial statements of Teamshares Inc. and its subsidiaries (“Teamshares” or the “Company”) have been prepared in accordance with accounting principles generally accepted in the United States of America (“U.S. GAAP”) for interim financial information and with Article 10 of Regulation S-X. In the opinion of management, the consolidated financial statements include all the adjustments necessary for a fair statement in conformity with U.S. GAAP. Certain reclassifications have been made to prior year financial statements to conform to classifications used in the current year. </w:t>
      </w:r>
    </w:p>
    <w:p>
      <w:pPr>
        <w:pStyle w:val="TextBody"/>
        <w:bidi w:val="0"/>
        <w:spacing w:before="240" w:after="0"/>
        <w:jc w:val="left"/>
        <w:rPr>
          <w:rFonts w:ascii="Times New Roman" w:hAnsi="Times New Roman"/>
          <w:sz w:val="20"/>
        </w:rPr>
      </w:pPr>
      <w:r>
        <w:rPr>
          <w:rFonts w:ascii="Times New Roman" w:hAnsi="Times New Roman"/>
          <w:sz w:val="20"/>
        </w:rPr>
        <w:t xml:space="preserve">Operating results for interim periods are not necessarily indicative of results that may be expected for the fiscal year as a whole. 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differ from those estimates.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unaudited consolidated financial statements include the accounts of the Company, its wholly-owned subsidiaries, and entities for which the Company has a controlling financial interest. Intercompany transactions and balances have been eliminated in consolidation. Amounts are reported in thousands within this quarterly report, and therefore, certain columns and rows within tables in this report may not sum due to rounding.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unaudited consolidated financial statements and related notes should be read in conjunction with the audited consolidated financial statements of the Company for the fiscal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no material changes to the Company’s significant accounting policies, as disclosed in Note 2 of the audited consolidated financial statements of the Company for the fiscal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Teamshares had 93 active Operating Subsidiaries (as defined in Note 1 of the audited consolidated financial statements of the Company for the fiscal year ended December 31, 2025), 90 of which are located in the United States and 3 of which are located outside of the United States.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These consolidated financial statements have been prepared in accordance with US GAAP assuming the Company will continue as a going concern, which contemplates the realization of assets and satisfaction of liabilities in the normal course of business. For the three months ended March 31, 2026 and the year ended December 31, 2025, the Company has incurred net losses and negative cash flows from operations due to corporate overhead and interest expense exceeding cash flows from Operating Subsidiaries and current conditions are expected to result in additional losses for the next 12 months after the financial statements are available to be issued. Furthermore, the Company has debt of $215.7 million that will mature within the next 12 months after the financial statements are available to be issued, and the Company’s existing liquidity and forecasted cash flows are not sufficient to repay this debt. These conditions may impact the Company’s ability to remain in compliance with certain debt covenants. See NOTE 9. As a result, substantial doubt exists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Management’s plans to alleviate these conditions include, but are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SPAC Merger (as defined in Note 1 of the audited consolidated financial statements of the Company for the fiscal year ended December 31, 2025) - The Company plans to go public via a merger with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SPAC (as defined in Note 1 of the audited consolidated financial statements of the Company for the fiscal year ended December 31, 2025), which is expected to close in Q2’26 subject to regulatory approval and customary closing conditions. Upon close, the Company expects to receive $126.5 million from the PIPE Investment plus up to $241.1 million of additional proceeds currently held in trust at the SPAC depending on redemptions (in each case reduced by fees). The Company plans to utilize these proceeds to fund acquisitions and repay certain indebtedness, which is expected to significantly improve cash flows from operations. The closing of the SPAC Merger was not incorporated into the Company’s analysis regarding its ability to continue as a going concern primarily due to regulatory approvals that were deemed outside of its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Refinance Existing Indebtedness—The Company intends to refinance certain of its indebtedness, including the i80 Facility (see NOTE 9) that matures in December 2026. The Company believes the completion of the SPAC Merger and improvement in liquidity will increase the likelihood of successfully refinancing its existing indebtedness. However, there can be no assurance the Company will be successful in obtaining such refinancing on acceptable terms, or at all.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management is pursuing these plans, there can be no assurance they will be successfully implemented or that they will be able to mitigate the substantial doubt regarding its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do not include any adjustments that might result from the outcome of this uncertainty, such as adjustments relating to the recoverability and classification of recorded asset amounts or the amounts and classification of liabilities that might be necessary should the Company be unable to continue as a going concern. </w:t>
      </w:r>
    </w:p>
    <w:p>
      <w:pPr>
        <w:pStyle w:val="TextBody"/>
        <w:bidi w:val="0"/>
        <w:spacing w:before="360" w:after="0"/>
        <w:jc w:val="left"/>
        <w:rPr>
          <w:rFonts w:ascii="Times New Roman" w:hAnsi="Times New Roman"/>
          <w:b/>
          <w:sz w:val="20"/>
        </w:rPr>
      </w:pPr>
      <w:r>
        <w:rPr>
          <w:rFonts w:ascii="Times New Roman" w:hAnsi="Times New Roman"/>
          <w:b/>
          <w:sz w:val="20"/>
        </w:rPr>
        <w:t xml:space="preserve">NOTE 2 – New Accounting Pronouncements </w:t>
      </w:r>
    </w:p>
    <w:p>
      <w:pPr>
        <w:pStyle w:val="TextBody"/>
        <w:bidi w:val="0"/>
        <w:spacing w:before="120" w:after="0"/>
        <w:jc w:val="left"/>
        <w:rPr>
          <w:rFonts w:ascii="Times New Roman" w:hAnsi="Times New Roman"/>
          <w:sz w:val="20"/>
        </w:rPr>
      </w:pPr>
      <w:r>
        <w:rPr>
          <w:rFonts w:ascii="Times New Roman" w:hAnsi="Times New Roman"/>
          <w:sz w:val="20"/>
          <w:u w:val="single"/>
        </w:rPr>
        <w:t xml:space="preserve">New Accounting Pronouncement Not Adopted as of December 31, 2025: </w:t>
      </w:r>
      <w:r>
        <w:rPr>
          <w:rFonts w:ascii="Times New Roman" w:hAnsi="Times New Roman"/>
          <w:sz w:val="20"/>
        </w:rPr>
        <w:t>In December 2023, the Financial Accounting Standards Board issued Accounting Standards Update (“</w:t>
      </w:r>
      <w:r>
        <w:rPr>
          <w:rFonts w:ascii="Times New Roman" w:hAnsi="Times New Roman"/>
          <w:i/>
          <w:sz w:val="20"/>
        </w:rPr>
        <w:t>ASU”) 2023-09, Improvements to Income Tax Disclosures</w:t>
      </w:r>
      <w:r>
        <w:rPr>
          <w:rFonts w:ascii="Times New Roman" w:hAnsi="Times New Roman"/>
          <w:sz w:val="20"/>
        </w:rPr>
        <w:t xml:space="preserve">, which intends to provide investors with enhanced information about an entity’s income taxes by requiring disclosure of items such as disaggregation of the effective tax rate reconciliation as well as information regarding income taxes paid. This ASU is effective for annual reporting periods beginning after December 15, 2025, and will result in additional disclosures beginning with the Company’s 2026 annual reporting. </w:t>
      </w:r>
    </w:p>
    <w:p>
      <w:pPr>
        <w:pStyle w:val="TextBody"/>
        <w:bidi w:val="0"/>
        <w:spacing w:before="360" w:after="0"/>
        <w:jc w:val="left"/>
        <w:rPr>
          <w:rFonts w:ascii="Times New Roman" w:hAnsi="Times New Roman"/>
          <w:b/>
          <w:sz w:val="20"/>
        </w:rPr>
      </w:pPr>
      <w:r>
        <w:rPr>
          <w:rFonts w:ascii="Times New Roman" w:hAnsi="Times New Roman"/>
          <w:b/>
          <w:sz w:val="20"/>
        </w:rPr>
        <w:t xml:space="preserve">NOTE 3 – Revenue </w:t>
      </w:r>
    </w:p>
    <w:p>
      <w:pPr>
        <w:pStyle w:val="TextBody"/>
        <w:bidi w:val="0"/>
        <w:spacing w:before="120" w:after="0"/>
        <w:jc w:val="left"/>
        <w:rPr>
          <w:rFonts w:ascii="Times New Roman" w:hAnsi="Times New Roman"/>
          <w:sz w:val="20"/>
        </w:rPr>
      </w:pPr>
      <w:r>
        <w:rPr>
          <w:rFonts w:ascii="Times New Roman" w:hAnsi="Times New Roman"/>
          <w:sz w:val="20"/>
        </w:rPr>
        <w:t xml:space="preserve">The Operating Subsidiaries operate in a variety of industries and generate revenue from the sale of a diverse mix of product and service offerings. Operating Subsidiaries are not concentrated in a specific industry or geographical region. The Company disaggregates its revenue between sales of products and sales of services in the unaudited Consolidated Statements of Operations. There are no material extended payment terms extended to Operating Subsidiary customers. </w:t>
      </w:r>
    </w:p>
    <w:p>
      <w:pPr>
        <w:pStyle w:val="TextBody"/>
        <w:bidi w:val="0"/>
        <w:spacing w:before="240" w:after="0"/>
        <w:jc w:val="left"/>
        <w:rPr>
          <w:rFonts w:ascii="Times New Roman" w:hAnsi="Times New Roman"/>
          <w:sz w:val="20"/>
        </w:rPr>
      </w:pPr>
      <w:r>
        <w:rPr>
          <w:rFonts w:ascii="Times New Roman" w:hAnsi="Times New Roman"/>
          <w:sz w:val="20"/>
        </w:rPr>
        <w:t xml:space="preserve">At times, the Company has a right to payment from previous performance that is conditional on something other than the passage of time, such as billings that are contingent on work completed by others, and certain unbilled receivables, which are recognized as Contract Assets. Contract Assets are included in Accounts Receivable, Net on the unaudited Consolidated Balance Sheets and were $0.8 million and $1.2 million as of March 31, 2026 and December 31,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Contract liabilities consist of payments received from customers in advance of the Company providing the product or performing services such that control has not passed to the customer. Contract liabilities are included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Deferred Revenue on the unaudited Consolidated Balance Sheets, and were $14.6 million and $10.1 million as of March 31, 2026 and December 31, 2025, respectively. During the three months ended March 31, 2026, the Company recognized $6.7 million of revenue that was included in deferred revenue as of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NOTE 4 – 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2026, the Company completed one business combination. The business combination was an individually insignificant acquisition of an Operating Subsidiary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business combinations using the acquisition method, and accordingly, the purchase price has been allocated based upon the fair value of the assets acquired and liabilities assumed.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estimated acquisition date fair values of the aggregate assets acquired and liabilities assumed for the three months ended March 31,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25"/>
        <w:gridCol w:w="696"/>
        <w:gridCol w:w="324"/>
        <w:gridCol w:w="1336"/>
        <w:gridCol w:w="158"/>
      </w:tblGrid>
      <w:tr>
        <w:trPr/>
        <w:tc>
          <w:tcPr>
            <w:tcW w:w="4425" w:type="dxa"/>
            <w:tcBorders/>
            <w:vAlign w:val="center"/>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25"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Three</w:t>
              <w:br/>
              <w:t>Months Ended</w:t>
            </w:r>
          </w:p>
        </w:tc>
        <w:tc>
          <w:tcPr>
            <w:tcW w:w="158" w:type="dxa"/>
            <w:tcBorders/>
            <w:vAlign w:val="bottom"/>
          </w:tcPr>
          <w:p>
            <w:pPr>
              <w:pStyle w:val="TableContents"/>
              <w:bidi w:val="0"/>
              <w:spacing w:before="0" w:after="283"/>
              <w:jc w:val="left"/>
              <w:rPr/>
            </w:pPr>
            <w:r>
              <w:rPr/>
              <w:t> </w:t>
            </w:r>
          </w:p>
        </w:tc>
      </w:tr>
      <w:tr>
        <w:trPr/>
        <w:tc>
          <w:tcPr>
            <w:tcW w:w="4425"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br/>
              <w:t>(Unaudited)</w:t>
            </w:r>
          </w:p>
        </w:tc>
        <w:tc>
          <w:tcPr>
            <w:tcW w:w="158" w:type="dxa"/>
            <w:tcBorders/>
            <w:vAlign w:val="bottom"/>
          </w:tcPr>
          <w:p>
            <w:pPr>
              <w:pStyle w:val="TableContents"/>
              <w:bidi w:val="0"/>
              <w:spacing w:before="0" w:after="283"/>
              <w:jc w:val="left"/>
              <w:rPr/>
            </w:pPr>
            <w:r>
              <w:rPr/>
              <w:t> </w:t>
            </w:r>
          </w:p>
        </w:tc>
      </w:tr>
      <w:tr>
        <w:trPr/>
        <w:tc>
          <w:tcPr>
            <w:tcW w:w="4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Consideration:</w:t>
            </w:r>
          </w:p>
        </w:tc>
        <w:tc>
          <w:tcPr>
            <w:tcW w:w="69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33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425"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w:t>
            </w:r>
          </w:p>
        </w:tc>
        <w:tc>
          <w:tcPr>
            <w:tcW w:w="1336" w:type="dxa"/>
            <w:tcBorders/>
            <w:vAlign w:val="bottom"/>
          </w:tcPr>
          <w:p>
            <w:pPr>
              <w:pStyle w:val="TableContents"/>
              <w:bidi w:val="0"/>
              <w:spacing w:before="0" w:after="283"/>
              <w:jc w:val="right"/>
              <w:rPr/>
            </w:pPr>
            <w:r>
              <w:rPr/>
              <w:t>3,091</w:t>
            </w:r>
          </w:p>
        </w:tc>
        <w:tc>
          <w:tcPr>
            <w:tcW w:w="158" w:type="dxa"/>
            <w:tcBorders/>
            <w:vAlign w:val="bottom"/>
          </w:tcPr>
          <w:p>
            <w:pPr>
              <w:pStyle w:val="TableContents"/>
              <w:bidi w:val="0"/>
              <w:spacing w:before="0" w:after="283"/>
              <w:jc w:val="left"/>
              <w:rPr/>
            </w:pPr>
            <w:r>
              <w:rPr/>
              <w:t> </w:t>
            </w:r>
          </w:p>
        </w:tc>
      </w:tr>
      <w:tr>
        <w:trPr/>
        <w:tc>
          <w:tcPr>
            <w:tcW w:w="4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Seller Notes at fair value</w:t>
            </w:r>
          </w:p>
        </w:tc>
        <w:tc>
          <w:tcPr>
            <w:tcW w:w="69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532</w:t>
            </w:r>
          </w:p>
        </w:tc>
        <w:tc>
          <w:tcPr>
            <w:tcW w:w="158" w:type="dxa"/>
            <w:tcBorders/>
            <w:shd w:fill="CCEEFF" w:val="clear"/>
            <w:vAlign w:val="bottom"/>
          </w:tcPr>
          <w:p>
            <w:pPr>
              <w:pStyle w:val="TableContents"/>
              <w:bidi w:val="0"/>
              <w:spacing w:before="0" w:after="283"/>
              <w:jc w:val="left"/>
              <w:rPr/>
            </w:pPr>
            <w:r>
              <w:rPr/>
              <w:t> </w:t>
            </w:r>
          </w:p>
        </w:tc>
      </w:tr>
      <w:tr>
        <w:trPr/>
        <w:tc>
          <w:tcPr>
            <w:tcW w:w="4425"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179</w:t>
            </w:r>
          </w:p>
        </w:tc>
        <w:tc>
          <w:tcPr>
            <w:tcW w:w="158" w:type="dxa"/>
            <w:tcBorders/>
            <w:vAlign w:val="bottom"/>
          </w:tcPr>
          <w:p>
            <w:pPr>
              <w:pStyle w:val="TableContents"/>
              <w:bidi w:val="0"/>
              <w:spacing w:before="0" w:after="283"/>
              <w:jc w:val="left"/>
              <w:rPr/>
            </w:pPr>
            <w:r>
              <w:rPr/>
              <w:t> </w:t>
            </w:r>
          </w:p>
        </w:tc>
      </w:tr>
      <w:tr>
        <w:trPr/>
        <w:tc>
          <w:tcPr>
            <w:tcW w:w="4425"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consideration transferred</w:t>
            </w:r>
          </w:p>
        </w:tc>
        <w:tc>
          <w:tcPr>
            <w:tcW w:w="69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w:t>
            </w:r>
          </w:p>
        </w:tc>
        <w:tc>
          <w:tcPr>
            <w:tcW w:w="1336" w:type="dxa"/>
            <w:tcBorders/>
            <w:shd w:fill="CCEEFF" w:val="clear"/>
            <w:vAlign w:val="bottom"/>
          </w:tcPr>
          <w:p>
            <w:pPr>
              <w:pStyle w:val="TableContents"/>
              <w:bidi w:val="0"/>
              <w:spacing w:before="0" w:after="283"/>
              <w:jc w:val="right"/>
              <w:rPr/>
            </w:pPr>
            <w:r>
              <w:rPr/>
              <w:t>3,801</w:t>
            </w:r>
          </w:p>
        </w:tc>
        <w:tc>
          <w:tcPr>
            <w:tcW w:w="158" w:type="dxa"/>
            <w:tcBorders/>
            <w:shd w:fill="CCEEFF" w:val="clear"/>
            <w:vAlign w:val="bottom"/>
          </w:tcPr>
          <w:p>
            <w:pPr>
              <w:pStyle w:val="TableContents"/>
              <w:bidi w:val="0"/>
              <w:spacing w:before="0" w:after="283"/>
              <w:jc w:val="left"/>
              <w:rPr/>
            </w:pPr>
            <w:r>
              <w:rPr/>
              <w:t> </w:t>
            </w:r>
          </w:p>
        </w:tc>
      </w:tr>
      <w:tr>
        <w:trPr/>
        <w:tc>
          <w:tcPr>
            <w:tcW w:w="4425"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assets acquired and liabilities assumed:</w:t>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sz w:val="4"/>
                <w:szCs w:val="4"/>
              </w:rPr>
            </w:pPr>
            <w:r>
              <w:rPr>
                <w:sz w:val="4"/>
                <w:szCs w:val="4"/>
              </w:rPr>
            </w:r>
          </w:p>
        </w:tc>
        <w:tc>
          <w:tcPr>
            <w:tcW w:w="133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4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69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w:t>
            </w:r>
          </w:p>
        </w:tc>
        <w:tc>
          <w:tcPr>
            <w:tcW w:w="1336" w:type="dxa"/>
            <w:tcBorders/>
            <w:shd w:fill="CCEEFF" w:val="clear"/>
            <w:vAlign w:val="bottom"/>
          </w:tcPr>
          <w:p>
            <w:pPr>
              <w:pStyle w:val="TableContents"/>
              <w:bidi w:val="0"/>
              <w:spacing w:before="0" w:after="283"/>
              <w:jc w:val="right"/>
              <w:rPr/>
            </w:pPr>
            <w:r>
              <w:rPr/>
              <w:t>2,038</w:t>
            </w:r>
          </w:p>
        </w:tc>
        <w:tc>
          <w:tcPr>
            <w:tcW w:w="158" w:type="dxa"/>
            <w:tcBorders/>
            <w:shd w:fill="CCEEFF" w:val="clear"/>
            <w:vAlign w:val="bottom"/>
          </w:tcPr>
          <w:p>
            <w:pPr>
              <w:pStyle w:val="TableContents"/>
              <w:bidi w:val="0"/>
              <w:spacing w:before="0" w:after="283"/>
              <w:jc w:val="left"/>
              <w:rPr/>
            </w:pPr>
            <w:r>
              <w:rPr/>
              <w:t> </w:t>
            </w:r>
          </w:p>
        </w:tc>
      </w:tr>
      <w:tr>
        <w:trPr/>
        <w:tc>
          <w:tcPr>
            <w:tcW w:w="442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42</w:t>
            </w:r>
          </w:p>
        </w:tc>
        <w:tc>
          <w:tcPr>
            <w:tcW w:w="158" w:type="dxa"/>
            <w:tcBorders/>
            <w:vAlign w:val="bottom"/>
          </w:tcPr>
          <w:p>
            <w:pPr>
              <w:pStyle w:val="TableContents"/>
              <w:bidi w:val="0"/>
              <w:spacing w:before="0" w:after="283"/>
              <w:jc w:val="left"/>
              <w:rPr/>
            </w:pPr>
            <w:r>
              <w:rPr/>
              <w:t> </w:t>
            </w:r>
          </w:p>
        </w:tc>
      </w:tr>
      <w:tr>
        <w:trPr/>
        <w:tc>
          <w:tcPr>
            <w:tcW w:w="4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69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304</w:t>
            </w:r>
          </w:p>
        </w:tc>
        <w:tc>
          <w:tcPr>
            <w:tcW w:w="158" w:type="dxa"/>
            <w:tcBorders/>
            <w:shd w:fill="CCEEFF" w:val="clear"/>
            <w:vAlign w:val="bottom"/>
          </w:tcPr>
          <w:p>
            <w:pPr>
              <w:pStyle w:val="TableContents"/>
              <w:bidi w:val="0"/>
              <w:spacing w:before="0" w:after="283"/>
              <w:jc w:val="left"/>
              <w:rPr/>
            </w:pPr>
            <w:r>
              <w:rPr/>
              <w:t> </w:t>
            </w:r>
          </w:p>
        </w:tc>
      </w:tr>
      <w:tr>
        <w:trPr/>
        <w:tc>
          <w:tcPr>
            <w:tcW w:w="4425"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&amp; other assets</w:t>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17</w:t>
            </w:r>
          </w:p>
        </w:tc>
        <w:tc>
          <w:tcPr>
            <w:tcW w:w="158" w:type="dxa"/>
            <w:tcBorders/>
            <w:vAlign w:val="bottom"/>
          </w:tcPr>
          <w:p>
            <w:pPr>
              <w:pStyle w:val="TableContents"/>
              <w:bidi w:val="0"/>
              <w:spacing w:before="0" w:after="283"/>
              <w:jc w:val="left"/>
              <w:rPr/>
            </w:pPr>
            <w:r>
              <w:rPr/>
              <w:t> </w:t>
            </w:r>
          </w:p>
        </w:tc>
      </w:tr>
      <w:tr>
        <w:trPr/>
        <w:tc>
          <w:tcPr>
            <w:tcW w:w="4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69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190</w:t>
            </w:r>
          </w:p>
        </w:tc>
        <w:tc>
          <w:tcPr>
            <w:tcW w:w="158" w:type="dxa"/>
            <w:tcBorders/>
            <w:shd w:fill="CCEEFF" w:val="clear"/>
            <w:vAlign w:val="bottom"/>
          </w:tcPr>
          <w:p>
            <w:pPr>
              <w:pStyle w:val="TableContents"/>
              <w:bidi w:val="0"/>
              <w:spacing w:before="0" w:after="283"/>
              <w:jc w:val="left"/>
              <w:rPr/>
            </w:pPr>
            <w:r>
              <w:rPr/>
              <w:t> </w:t>
            </w:r>
          </w:p>
        </w:tc>
      </w:tr>
      <w:tr>
        <w:trPr/>
        <w:tc>
          <w:tcPr>
            <w:tcW w:w="4425"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128</w:t>
            </w:r>
          </w:p>
        </w:tc>
        <w:tc>
          <w:tcPr>
            <w:tcW w:w="158" w:type="dxa"/>
            <w:tcBorders/>
            <w:vAlign w:val="bottom"/>
          </w:tcPr>
          <w:p>
            <w:pPr>
              <w:pStyle w:val="TableContents"/>
              <w:bidi w:val="0"/>
              <w:spacing w:before="0" w:after="283"/>
              <w:jc w:val="left"/>
              <w:rPr/>
            </w:pPr>
            <w:r>
              <w:rPr/>
              <w:t> </w:t>
            </w:r>
          </w:p>
        </w:tc>
      </w:tr>
      <w:tr>
        <w:trPr/>
        <w:tc>
          <w:tcPr>
            <w:tcW w:w="4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 of use assets</w:t>
            </w:r>
          </w:p>
        </w:tc>
        <w:tc>
          <w:tcPr>
            <w:tcW w:w="69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644</w:t>
            </w:r>
          </w:p>
        </w:tc>
        <w:tc>
          <w:tcPr>
            <w:tcW w:w="158" w:type="dxa"/>
            <w:tcBorders/>
            <w:shd w:fill="CCEEFF" w:val="clear"/>
            <w:vAlign w:val="bottom"/>
          </w:tcPr>
          <w:p>
            <w:pPr>
              <w:pStyle w:val="TableContents"/>
              <w:bidi w:val="0"/>
              <w:spacing w:before="0" w:after="283"/>
              <w:jc w:val="left"/>
              <w:rPr/>
            </w:pPr>
            <w:r>
              <w:rPr/>
              <w:t> </w:t>
            </w:r>
          </w:p>
        </w:tc>
      </w:tr>
      <w:tr>
        <w:trPr/>
        <w:tc>
          <w:tcPr>
            <w:tcW w:w="442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&amp; accrued liabilities</w:t>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(713</w:t>
            </w:r>
          </w:p>
        </w:tc>
        <w:tc>
          <w:tcPr>
            <w:tcW w:w="158" w:type="dxa"/>
            <w:tcBorders/>
            <w:vAlign w:val="bottom"/>
          </w:tcPr>
          <w:p>
            <w:pPr>
              <w:pStyle w:val="TableContents"/>
              <w:bidi w:val="0"/>
              <w:spacing w:before="0" w:after="283"/>
              <w:jc w:val="left"/>
              <w:rPr/>
            </w:pPr>
            <w:r>
              <w:rPr/>
              <w:t>) </w:t>
            </w:r>
          </w:p>
        </w:tc>
      </w:tr>
      <w:tr>
        <w:trPr/>
        <w:tc>
          <w:tcPr>
            <w:tcW w:w="4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69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(644</w:t>
            </w:r>
          </w:p>
        </w:tc>
        <w:tc>
          <w:tcPr>
            <w:tcW w:w="158" w:type="dxa"/>
            <w:tcBorders/>
            <w:shd w:fill="CCEEFF" w:val="clear"/>
            <w:vAlign w:val="bottom"/>
          </w:tcPr>
          <w:p>
            <w:pPr>
              <w:pStyle w:val="TableContents"/>
              <w:bidi w:val="0"/>
              <w:spacing w:before="0" w:after="283"/>
              <w:jc w:val="left"/>
              <w:rPr/>
            </w:pPr>
            <w:r>
              <w:rPr/>
              <w:t>) </w:t>
            </w:r>
          </w:p>
        </w:tc>
      </w:tr>
      <w:tr>
        <w:trPr/>
        <w:tc>
          <w:tcPr>
            <w:tcW w:w="4425"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4425"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identifiable assets acquired, net</w:t>
            </w:r>
          </w:p>
        </w:tc>
        <w:tc>
          <w:tcPr>
            <w:tcW w:w="69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2,006</w:t>
            </w:r>
          </w:p>
        </w:tc>
        <w:tc>
          <w:tcPr>
            <w:tcW w:w="158" w:type="dxa"/>
            <w:tcBorders/>
            <w:shd w:fill="CCEEFF" w:val="clear"/>
            <w:vAlign w:val="bottom"/>
          </w:tcPr>
          <w:p>
            <w:pPr>
              <w:pStyle w:val="TableContents"/>
              <w:bidi w:val="0"/>
              <w:spacing w:before="0" w:after="283"/>
              <w:jc w:val="left"/>
              <w:rPr/>
            </w:pPr>
            <w:r>
              <w:rPr/>
              <w:t> </w:t>
            </w:r>
          </w:p>
        </w:tc>
      </w:tr>
      <w:tr>
        <w:trPr/>
        <w:tc>
          <w:tcPr>
            <w:tcW w:w="4425"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425"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w:t>
            </w:r>
          </w:p>
        </w:tc>
        <w:tc>
          <w:tcPr>
            <w:tcW w:w="1336" w:type="dxa"/>
            <w:tcBorders/>
            <w:vAlign w:val="bottom"/>
          </w:tcPr>
          <w:p>
            <w:pPr>
              <w:pStyle w:val="TableContents"/>
              <w:bidi w:val="0"/>
              <w:spacing w:before="0" w:after="283"/>
              <w:jc w:val="right"/>
              <w:rPr/>
            </w:pPr>
            <w:r>
              <w:rPr/>
              <w:t>1,795</w:t>
            </w:r>
          </w:p>
        </w:tc>
        <w:tc>
          <w:tcPr>
            <w:tcW w:w="158" w:type="dxa"/>
            <w:tcBorders/>
            <w:vAlign w:val="bottom"/>
          </w:tcPr>
          <w:p>
            <w:pPr>
              <w:pStyle w:val="TableContents"/>
              <w:bidi w:val="0"/>
              <w:spacing w:before="0" w:after="283"/>
              <w:jc w:val="left"/>
              <w:rPr/>
            </w:pPr>
            <w:r>
              <w:rPr/>
              <w:t> </w:t>
            </w:r>
          </w:p>
        </w:tc>
      </w:tr>
      <w:tr>
        <w:trPr/>
        <w:tc>
          <w:tcPr>
            <w:tcW w:w="4425"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Seller Notes are a form of noncash consideration paid to the sellers of certain businesses, and are therefore disclosed as non-cash investing activities in the unaudited Consolidated Statements of Cash Flows. See NOTE 9. The principal balance of the Seller Notes included in the table above was $1.0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acquired 100% of the voting equity interests of the Operating Subsidiary acquired during the three months ended March 31, 2026. The Company owns preferred stock in each acquired Operating Subsidiary, and the preferred stock owned by the Company has a liquidation preference over common stockholders of each Operating Subsidiary in case of a liquidation event. The liquidation preference is equal to the price per share on the acquisition date adjusted for any additional contributions, stock splits, stock dividends, or similar transactions. The Company also controls the board of directors of the acquired Operating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Certain historical acquisitions prior to 2023 were acquired for 90% in cash and the issuance of preferred stock to the former owners equal to 10% of all the issued and outstanding stock of the Operating Subsidiaries, calculated on a fully diluted and as-converted basis (the “Rollover Shares”), as of the acquisition date. Rollover Shares are classified as Redeemable Noncontrolling Interests outside of permanent equity in the Company’s unaudited Consolidated Balance Sheets. During the three months ended March 31, 2026, the Company paid $0.5 million to repurchase Rollover Shares held by the former owners of certain Operating Subsidiaries. In comparison, during the three months ended March 31, 2025, the Company paid $0.1 million to repurchase Rollover Shares held by the former owners of certain Operating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completed during the three months ended March 31, 2026 was funded by cash on hand and the issuance of debt. See NOTE 9.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completed during the three months ended March 31, 2026 resulted in goodwill totaling $1.8 million. All of the goodwill that was acquired during the three months ended March 31, 2026 was assigned to the Small Business Acquisitions reportable segment. All of the goodwill generated from the business combination during the three months ended March 31, 2026 is deductible for tax purposes. The determination of the final purchase price allocation to specific assets acquired and liabilities assumed may be subject to change during the measurement period up to one year following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2026, the Company did not record any material measurement period adjustments to Operating Subsidiaries acquired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recognized $0.7 million of Revenue and an immaterial amount of Net Income Attributable to Teamshares Inc. in the unaudited Consolidated Statements of Operations during the three months ended March 31, 2026 related to the operating subsidiary acquired during the three months ended March 31, 2026. </w:t>
      </w:r>
    </w:p>
    <w:p>
      <w:pPr>
        <w:pStyle w:val="TextBody"/>
        <w:bidi w:val="0"/>
        <w:spacing w:before="240" w:after="0"/>
        <w:jc w:val="left"/>
        <w:rPr>
          <w:rFonts w:ascii="Times New Roman" w:hAnsi="Times New Roman"/>
          <w:sz w:val="20"/>
        </w:rPr>
      </w:pPr>
      <w:r>
        <w:rPr>
          <w:rFonts w:ascii="Times New Roman" w:hAnsi="Times New Roman"/>
          <w:sz w:val="20"/>
        </w:rPr>
        <w:t xml:space="preserve">For disclosures of the business combinations completed during the year ended December 31, 2025, refer to Note 4 of the audited consolidated financial statements of the Company for the fiscal year ended December 31, 2025. The following table summarizes the unaudited pro forma condensed financial information of the Company as if the business combination during the three months ended March 31, 2026, and all business combinations during the year ended December 31, 2025, had occurred on January 1, 2025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99"/>
        <w:gridCol w:w="494"/>
        <w:gridCol w:w="240"/>
        <w:gridCol w:w="1387"/>
        <w:gridCol w:w="155"/>
        <w:gridCol w:w="494"/>
        <w:gridCol w:w="240"/>
        <w:gridCol w:w="1387"/>
        <w:gridCol w:w="159"/>
      </w:tblGrid>
      <w:tr>
        <w:trPr/>
        <w:tc>
          <w:tcPr>
            <w:tcW w:w="3199"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99"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627" w:type="dxa"/>
            <w:gridSpan w:val="2"/>
            <w:tcBorders>
              <w:bottom w:val="single" w:sz="8" w:space="0" w:color="000000"/>
            </w:tcBorders>
            <w:tcMar>
              <w:bottom w:w="28" w:type="dxa"/>
            </w:tcMar>
            <w:vAlign w:val="bottom"/>
          </w:tcPr>
          <w:p>
            <w:pPr>
              <w:pStyle w:val="TableContents"/>
              <w:bidi w:val="0"/>
              <w:spacing w:before="0" w:after="283"/>
              <w:jc w:val="center"/>
              <w:rPr/>
            </w:pPr>
            <w:r>
              <w:rPr>
                <w:b/>
              </w:rPr>
              <w:t>March 31, 2026</w:t>
            </w:r>
            <w:r>
              <w:rPr/>
              <w:br/>
            </w:r>
            <w:r>
              <w:rPr>
                <w:b/>
              </w:rPr>
              <w:t>(Unaudited)</w:t>
            </w:r>
          </w:p>
        </w:tc>
        <w:tc>
          <w:tcPr>
            <w:tcW w:w="155"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627" w:type="dxa"/>
            <w:gridSpan w:val="2"/>
            <w:tcBorders>
              <w:bottom w:val="single" w:sz="8" w:space="0" w:color="000000"/>
            </w:tcBorders>
            <w:tcMar>
              <w:bottom w:w="28" w:type="dxa"/>
            </w:tcMar>
            <w:vAlign w:val="bottom"/>
          </w:tcPr>
          <w:p>
            <w:pPr>
              <w:pStyle w:val="TableContents"/>
              <w:bidi w:val="0"/>
              <w:spacing w:before="0" w:after="283"/>
              <w:jc w:val="center"/>
              <w:rPr/>
            </w:pPr>
            <w:r>
              <w:rPr>
                <w:b/>
              </w:rPr>
              <w:t>March 31, 2025</w:t>
            </w:r>
            <w:r>
              <w:rPr/>
              <w:br/>
            </w:r>
            <w:r>
              <w:rPr>
                <w:b/>
              </w:rPr>
              <w:t>(Unaudited)</w:t>
            </w:r>
          </w:p>
        </w:tc>
        <w:tc>
          <w:tcPr>
            <w:tcW w:w="159" w:type="dxa"/>
            <w:tcBorders/>
            <w:vAlign w:val="bottom"/>
          </w:tcPr>
          <w:p>
            <w:pPr>
              <w:pStyle w:val="TableContents"/>
              <w:bidi w:val="0"/>
              <w:spacing w:before="0" w:after="283"/>
              <w:jc w:val="left"/>
              <w:rPr/>
            </w:pPr>
            <w:r>
              <w:rPr/>
              <w:t> </w:t>
            </w:r>
          </w:p>
        </w:tc>
      </w:tr>
      <w:tr>
        <w:trPr/>
        <w:tc>
          <w:tcPr>
            <w:tcW w:w="3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49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1387" w:type="dxa"/>
            <w:tcBorders/>
            <w:shd w:fill="CCEEFF" w:val="clear"/>
            <w:vAlign w:val="bottom"/>
          </w:tcPr>
          <w:p>
            <w:pPr>
              <w:pStyle w:val="TableContents"/>
              <w:bidi w:val="0"/>
              <w:spacing w:before="0" w:after="283"/>
              <w:jc w:val="right"/>
              <w:rPr/>
            </w:pPr>
            <w:r>
              <w:rPr/>
              <w:t>121,459</w:t>
            </w:r>
          </w:p>
        </w:tc>
        <w:tc>
          <w:tcPr>
            <w:tcW w:w="155"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1387" w:type="dxa"/>
            <w:tcBorders/>
            <w:shd w:fill="CCEEFF" w:val="clear"/>
            <w:vAlign w:val="bottom"/>
          </w:tcPr>
          <w:p>
            <w:pPr>
              <w:pStyle w:val="TableContents"/>
              <w:bidi w:val="0"/>
              <w:spacing w:before="0" w:after="283"/>
              <w:jc w:val="right"/>
              <w:rPr/>
            </w:pPr>
            <w:r>
              <w:rPr/>
              <w:t>122,646</w:t>
            </w:r>
          </w:p>
        </w:tc>
        <w:tc>
          <w:tcPr>
            <w:tcW w:w="159" w:type="dxa"/>
            <w:tcBorders/>
            <w:shd w:fill="CCEEFF" w:val="clear"/>
            <w:vAlign w:val="bottom"/>
          </w:tcPr>
          <w:p>
            <w:pPr>
              <w:pStyle w:val="TableContents"/>
              <w:bidi w:val="0"/>
              <w:spacing w:before="0" w:after="283"/>
              <w:jc w:val="left"/>
              <w:rPr/>
            </w:pPr>
            <w:r>
              <w:rPr/>
              <w:t> </w:t>
            </w:r>
          </w:p>
        </w:tc>
      </w:tr>
      <w:tr>
        <w:trPr/>
        <w:tc>
          <w:tcPr>
            <w:tcW w:w="3199"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 (1)</w:t>
            </w:r>
          </w:p>
        </w:tc>
        <w:tc>
          <w:tcPr>
            <w:tcW w:w="49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(7,344</w:t>
            </w:r>
          </w:p>
        </w:tc>
        <w:tc>
          <w:tcPr>
            <w:tcW w:w="155"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(11,300</w:t>
            </w:r>
          </w:p>
        </w:tc>
        <w:tc>
          <w:tcPr>
            <w:tcW w:w="159" w:type="dxa"/>
            <w:tcBorders/>
            <w:vAlign w:val="bottom"/>
          </w:tcPr>
          <w:p>
            <w:pPr>
              <w:pStyle w:val="TableContents"/>
              <w:bidi w:val="0"/>
              <w:spacing w:before="0" w:after="283"/>
              <w:jc w:val="left"/>
              <w:rPr/>
            </w:pPr>
            <w:r>
              <w:rPr/>
              <w:t>) </w:t>
            </w:r>
          </w:p>
        </w:tc>
      </w:tr>
      <w:tr>
        <w:trPr/>
        <w:tc>
          <w:tcPr>
            <w:tcW w:w="3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(2)</w:t>
            </w:r>
          </w:p>
        </w:tc>
        <w:tc>
          <w:tcPr>
            <w:tcW w:w="49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(22,729</w:t>
            </w:r>
          </w:p>
        </w:tc>
        <w:tc>
          <w:tcPr>
            <w:tcW w:w="155"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(21,248</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adjustments increased Depreciation and Amortization by an immaterial amount during the three months ended March 31, 2026 compared to the unaudited Consolidated Statement of Operations. Pro forma adjustments increased Depreciation by $0.2 million and Amortization by $0.3 million during the three months ended March 31, 2025 compared to the unaudited Consolidated Statement of Operations.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adjustments increased Interest Expense, Net by an immaterial amount during the three months ended March 31, 2026 compared to the unaudited Consolidated Statement of Operations. Pro forma adjustments increased Interest Expense, Net by $1.1 million during the three months ended March 31, 2025 compared to the unaudited Consolidated Statement of Operations. Pro forma adjustments for the three months ended March 31, 2025 included the addition of approximately $0.7 million of acquisition-related transaction costs reclassified from the periods in which such costs were incurred to the three months ended March 31, 2025, as if the acquisitions had occurred on January 1, 2025. Pro forma adjustments did not impact Income Tax Expense during the three months ended March 31, 2026 or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Earnout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contingent consideration liabilities related to earnout agreements in certain of its business combinations. The terms of the earnout agreements vary but typically consist of a payout equal to a future percentage of a financial metric (typically revenue or a specified profitability metric) for a determined period of time (usually 1-6 years subsequent to the acquisition date). The Company estimates the future consideration payable related to the earnout agreements and includes it as a current or long-term contingent consideration liability in the unaudited Consolidated Balance Sheets. Changes to the fair value of the earnouts are recognized in Non-Operating Expenses (Income) in the unaudited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and December 31, 2025, respectively, the fair value of the contingent consideration liability related to the earnout agreements was $8.4 million and $9.2 million. As of March 31, 2026 and December 31, 2025, respectively, $2.4 million and $3.2 million is considered a current liability expected to be paid out in the next year, and $6.0 million and $6.0 million is considered a long-term liability expected to be paid out more than a year from the reporting date. The Company recognized income of an immaterial amount and $0.2 million related to the changes in fair value of the earnout agreements during the three months ended March 31, 2026 and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the Company had 31 Operating Subsidiaries with contingent consideration liabilities, which all contain a cap on the maximum amount of contingent consideration payable. As of March 31, 2026, the maximum amount of contingent consideration payable in the future for the 31 Operating Subsidiaries totaled $34.3 million.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2026 and 2025, respectively, the Company made payments related to the earnout agreements of $0.8 million and $0.6 million. Contingent consideration payments were not made soon after the applicable acquisition date and therefore are recognized as financing activities in the unaudited Consolidated Statements of Cash Flows, up to the estimated fair value of the obligation as of the acquisition date. Payments in excess of the original acquisition date fair value are recognized as operating activities in the unaudited Consolidated Statements of Cash Flows. The Company recognized $0.3 million and $0.5 million of payments related to earnout agreements as operating activities, and $0.5 million and $0.1 million of payments related to earnout agreements as financing activities in the unaudited Consolidated Statements of Cash Flows during the three months ended March 31, 2026 and 2025,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NOTE 5 – 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terms of certain of the Company’s debt agreements, the Company is required to maintain certain deposit accounts. These deposits are classified as restricted cash. As of March 31, 2026, the Company had $9.2 million of restricted cash related to debt agreements, including $6.8 million in debt service reserve accounts pledged as collateral (“Collateral Accounts”), and $2.4 million in collection accounts to be used to pay current fees, costs, and interest related to the debt (“Collection Accounts”). Any cash held in Collection Accounts in excess of debt servicing costs is available for distribution to Teamshares. As of December 31, 2025, the Company had $11.7 million of restricted cash related to debt agreements, including $6.8 million in Collateral Accounts, and $4.9 million in Collection Accounts. Restricted cash related to debt agreements is included within Long-Term Assets in the unaudited Consolidated Balance Sheets, unless the associated debt obligation matures within the next twelve months, in which case the restricted cash balance is included within Current Assets in the unaudited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terms of the Company’s self-insurance program, the Company is required to maintain separate deposit accounts. Distributions from these accounts require regulatory approval, and therefore the deposits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classified as restricted cash. As of March 31, 2026 and December 31, 2025, the Company had $2.0 million and $2.1 million, respectively, classified as restricted cash related to self-insurance programs. These deposits are included in Current Assets in the unaudited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NOTE 6 – 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66"/>
        <w:gridCol w:w="519"/>
        <w:gridCol w:w="276"/>
        <w:gridCol w:w="1392"/>
        <w:gridCol w:w="60"/>
        <w:gridCol w:w="519"/>
        <w:gridCol w:w="247"/>
        <w:gridCol w:w="1212"/>
        <w:gridCol w:w="64"/>
      </w:tblGrid>
      <w:tr>
        <w:trPr/>
        <w:tc>
          <w:tcPr>
            <w:tcW w:w="3466"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6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br/>
              <w:t>(unaudited)</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rPr/>
            </w:pPr>
            <w:r>
              <w:rPr/>
              <w:t> </w:t>
            </w:r>
          </w:p>
        </w:tc>
      </w:tr>
      <w:tr>
        <w:trPr/>
        <w:tc>
          <w:tcPr>
            <w:tcW w:w="3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519"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1392" w:type="dxa"/>
            <w:tcBorders/>
            <w:shd w:fill="CCEEFF" w:val="clear"/>
            <w:vAlign w:val="bottom"/>
          </w:tcPr>
          <w:p>
            <w:pPr>
              <w:pStyle w:val="TableContents"/>
              <w:bidi w:val="0"/>
              <w:spacing w:before="0" w:after="283"/>
              <w:jc w:val="right"/>
              <w:rPr/>
            </w:pPr>
            <w:r>
              <w:rPr/>
              <w:t>1,352</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1,439</w:t>
            </w:r>
          </w:p>
        </w:tc>
        <w:tc>
          <w:tcPr>
            <w:tcW w:w="64" w:type="dxa"/>
            <w:tcBorders/>
            <w:shd w:fill="CCEEFF" w:val="clear"/>
            <w:vAlign w:val="bottom"/>
          </w:tcPr>
          <w:p>
            <w:pPr>
              <w:pStyle w:val="TableContents"/>
              <w:bidi w:val="0"/>
              <w:spacing w:before="0" w:after="283"/>
              <w:jc w:val="left"/>
              <w:rPr/>
            </w:pPr>
            <w:r>
              <w:rPr/>
              <w:t> </w:t>
            </w:r>
          </w:p>
        </w:tc>
      </w:tr>
      <w:tr>
        <w:trPr/>
        <w:tc>
          <w:tcPr>
            <w:tcW w:w="3466" w:type="dxa"/>
            <w:tcBorders/>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519"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right"/>
              <w:rPr/>
            </w:pPr>
            <w:r>
              <w:rPr/>
              <w:t>577</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886</w:t>
            </w:r>
          </w:p>
        </w:tc>
        <w:tc>
          <w:tcPr>
            <w:tcW w:w="64" w:type="dxa"/>
            <w:tcBorders/>
            <w:vAlign w:val="bottom"/>
          </w:tcPr>
          <w:p>
            <w:pPr>
              <w:pStyle w:val="TableContents"/>
              <w:bidi w:val="0"/>
              <w:spacing w:before="0" w:after="283"/>
              <w:jc w:val="left"/>
              <w:rPr/>
            </w:pPr>
            <w:r>
              <w:rPr/>
              <w:t> </w:t>
            </w:r>
          </w:p>
        </w:tc>
      </w:tr>
      <w:tr>
        <w:trPr/>
        <w:tc>
          <w:tcPr>
            <w:tcW w:w="3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519"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right"/>
              <w:rPr/>
            </w:pPr>
            <w:r>
              <w:rPr/>
              <w:t>49,099</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44,079</w:t>
            </w:r>
          </w:p>
        </w:tc>
        <w:tc>
          <w:tcPr>
            <w:tcW w:w="64" w:type="dxa"/>
            <w:tcBorders/>
            <w:shd w:fill="CCEEFF" w:val="clear"/>
            <w:vAlign w:val="bottom"/>
          </w:tcPr>
          <w:p>
            <w:pPr>
              <w:pStyle w:val="TableContents"/>
              <w:bidi w:val="0"/>
              <w:spacing w:before="0" w:after="283"/>
              <w:jc w:val="left"/>
              <w:rPr/>
            </w:pPr>
            <w:r>
              <w:rPr/>
              <w:t> </w:t>
            </w:r>
          </w:p>
        </w:tc>
      </w:tr>
      <w:tr>
        <w:trPr/>
        <w:tc>
          <w:tcPr>
            <w:tcW w:w="3466"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13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466" w:type="dxa"/>
            <w:tcBorders/>
          </w:tcPr>
          <w:p>
            <w:pPr>
              <w:pStyle w:val="TableContents"/>
              <w:bidi w:val="0"/>
              <w:spacing w:before="0" w:after="0"/>
              <w:jc w:val="left"/>
              <w:rPr>
                <w:rFonts w:ascii="Times New Roman" w:hAnsi="Times New Roman"/>
                <w:sz w:val="20"/>
              </w:rPr>
            </w:pPr>
            <w:r>
              <w:rPr>
                <w:rFonts w:ascii="Times New Roman" w:hAnsi="Times New Roman"/>
                <w:sz w:val="20"/>
              </w:rPr>
              <w:t>Total inventories</w:t>
            </w:r>
          </w:p>
        </w:tc>
        <w:tc>
          <w:tcPr>
            <w:tcW w:w="519"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1392" w:type="dxa"/>
            <w:tcBorders/>
            <w:vAlign w:val="bottom"/>
          </w:tcPr>
          <w:p>
            <w:pPr>
              <w:pStyle w:val="TableContents"/>
              <w:bidi w:val="0"/>
              <w:spacing w:before="0" w:after="283"/>
              <w:jc w:val="right"/>
              <w:rPr/>
            </w:pPr>
            <w:r>
              <w:rPr/>
              <w:t>51,028</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212" w:type="dxa"/>
            <w:tcBorders/>
            <w:vAlign w:val="bottom"/>
          </w:tcPr>
          <w:p>
            <w:pPr>
              <w:pStyle w:val="TableContents"/>
              <w:bidi w:val="0"/>
              <w:spacing w:before="0" w:after="283"/>
              <w:jc w:val="right"/>
              <w:rPr/>
            </w:pPr>
            <w:r>
              <w:rPr/>
              <w:t>46,405</w:t>
            </w:r>
          </w:p>
        </w:tc>
        <w:tc>
          <w:tcPr>
            <w:tcW w:w="64" w:type="dxa"/>
            <w:tcBorders/>
            <w:vAlign w:val="bottom"/>
          </w:tcPr>
          <w:p>
            <w:pPr>
              <w:pStyle w:val="TableContents"/>
              <w:bidi w:val="0"/>
              <w:spacing w:before="0" w:after="283"/>
              <w:jc w:val="left"/>
              <w:rPr/>
            </w:pPr>
            <w:r>
              <w:rPr/>
              <w:t> </w:t>
            </w:r>
          </w:p>
        </w:tc>
      </w:tr>
      <w:tr>
        <w:trPr/>
        <w:tc>
          <w:tcPr>
            <w:tcW w:w="3466"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13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7 – Property, Plant,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net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06"/>
        <w:gridCol w:w="477"/>
        <w:gridCol w:w="252"/>
        <w:gridCol w:w="1390"/>
        <w:gridCol w:w="155"/>
        <w:gridCol w:w="477"/>
        <w:gridCol w:w="226"/>
        <w:gridCol w:w="1211"/>
        <w:gridCol w:w="161"/>
      </w:tblGrid>
      <w:tr>
        <w:trPr/>
        <w:tc>
          <w:tcPr>
            <w:tcW w:w="3406"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06"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6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br/>
              <w:t>(unaudited)</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61" w:type="dxa"/>
            <w:tcBorders/>
            <w:vAlign w:val="bottom"/>
          </w:tcPr>
          <w:p>
            <w:pPr>
              <w:pStyle w:val="TableContents"/>
              <w:bidi w:val="0"/>
              <w:spacing w:before="0" w:after="283"/>
              <w:jc w:val="left"/>
              <w:rPr/>
            </w:pPr>
            <w:r>
              <w:rPr/>
              <w:t> </w:t>
            </w:r>
          </w:p>
        </w:tc>
      </w:tr>
      <w:tr>
        <w:trPr/>
        <w:tc>
          <w:tcPr>
            <w:tcW w:w="3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47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w:t>
            </w:r>
          </w:p>
        </w:tc>
        <w:tc>
          <w:tcPr>
            <w:tcW w:w="1390" w:type="dxa"/>
            <w:tcBorders/>
            <w:shd w:fill="CCEEFF" w:val="clear"/>
            <w:vAlign w:val="bottom"/>
          </w:tcPr>
          <w:p>
            <w:pPr>
              <w:pStyle w:val="TableContents"/>
              <w:bidi w:val="0"/>
              <w:spacing w:before="0" w:after="283"/>
              <w:jc w:val="right"/>
              <w:rPr/>
            </w:pPr>
            <w:r>
              <w:rPr/>
              <w:t>9,057</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11" w:type="dxa"/>
            <w:tcBorders/>
            <w:shd w:fill="CCEEFF" w:val="clear"/>
            <w:vAlign w:val="bottom"/>
          </w:tcPr>
          <w:p>
            <w:pPr>
              <w:pStyle w:val="TableContents"/>
              <w:bidi w:val="0"/>
              <w:spacing w:before="0" w:after="283"/>
              <w:jc w:val="right"/>
              <w:rPr/>
            </w:pPr>
            <w:r>
              <w:rPr/>
              <w:t>9,003</w:t>
            </w:r>
          </w:p>
        </w:tc>
        <w:tc>
          <w:tcPr>
            <w:tcW w:w="161" w:type="dxa"/>
            <w:tcBorders/>
            <w:shd w:fill="CCEEFF" w:val="clear"/>
            <w:vAlign w:val="bottom"/>
          </w:tcPr>
          <w:p>
            <w:pPr>
              <w:pStyle w:val="TableContents"/>
              <w:bidi w:val="0"/>
              <w:spacing w:before="0" w:after="283"/>
              <w:jc w:val="left"/>
              <w:rPr/>
            </w:pPr>
            <w:r>
              <w:rPr/>
              <w:t> </w:t>
            </w:r>
          </w:p>
        </w:tc>
      </w:tr>
      <w:tr>
        <w:trPr/>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Computers and equipment</w:t>
            </w:r>
          </w:p>
        </w:tc>
        <w:tc>
          <w:tcPr>
            <w:tcW w:w="47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12,085</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11,697</w:t>
            </w:r>
          </w:p>
        </w:tc>
        <w:tc>
          <w:tcPr>
            <w:tcW w:w="161" w:type="dxa"/>
            <w:tcBorders/>
            <w:vAlign w:val="bottom"/>
          </w:tcPr>
          <w:p>
            <w:pPr>
              <w:pStyle w:val="TableContents"/>
              <w:bidi w:val="0"/>
              <w:spacing w:before="0" w:after="283"/>
              <w:jc w:val="left"/>
              <w:rPr/>
            </w:pPr>
            <w:r>
              <w:rPr/>
              <w:t> </w:t>
            </w:r>
          </w:p>
        </w:tc>
      </w:tr>
      <w:tr>
        <w:trPr/>
        <w:tc>
          <w:tcPr>
            <w:tcW w:w="3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47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4,048</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4,228</w:t>
            </w:r>
          </w:p>
        </w:tc>
        <w:tc>
          <w:tcPr>
            <w:tcW w:w="161" w:type="dxa"/>
            <w:tcBorders/>
            <w:shd w:fill="CCEEFF" w:val="clear"/>
            <w:vAlign w:val="bottom"/>
          </w:tcPr>
          <w:p>
            <w:pPr>
              <w:pStyle w:val="TableContents"/>
              <w:bidi w:val="0"/>
              <w:spacing w:before="0" w:after="283"/>
              <w:jc w:val="left"/>
              <w:rPr/>
            </w:pPr>
            <w:r>
              <w:rPr/>
              <w:t> </w:t>
            </w:r>
          </w:p>
        </w:tc>
      </w:tr>
      <w:tr>
        <w:trPr/>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Third-party software</w:t>
            </w:r>
          </w:p>
        </w:tc>
        <w:tc>
          <w:tcPr>
            <w:tcW w:w="47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2,210</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2,077</w:t>
            </w:r>
          </w:p>
        </w:tc>
        <w:tc>
          <w:tcPr>
            <w:tcW w:w="161" w:type="dxa"/>
            <w:tcBorders/>
            <w:vAlign w:val="bottom"/>
          </w:tcPr>
          <w:p>
            <w:pPr>
              <w:pStyle w:val="TableContents"/>
              <w:bidi w:val="0"/>
              <w:spacing w:before="0" w:after="283"/>
              <w:jc w:val="left"/>
              <w:rPr/>
            </w:pPr>
            <w:r>
              <w:rPr/>
              <w:t> </w:t>
            </w:r>
          </w:p>
        </w:tc>
      </w:tr>
      <w:tr>
        <w:trPr/>
        <w:tc>
          <w:tcPr>
            <w:tcW w:w="3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47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10,292</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10,148</w:t>
            </w:r>
          </w:p>
        </w:tc>
        <w:tc>
          <w:tcPr>
            <w:tcW w:w="161" w:type="dxa"/>
            <w:tcBorders/>
            <w:shd w:fill="CCEEFF" w:val="clear"/>
            <w:vAlign w:val="bottom"/>
          </w:tcPr>
          <w:p>
            <w:pPr>
              <w:pStyle w:val="TableContents"/>
              <w:bidi w:val="0"/>
              <w:spacing w:before="0" w:after="283"/>
              <w:jc w:val="left"/>
              <w:rPr/>
            </w:pPr>
            <w:r>
              <w:rPr/>
              <w:t> </w:t>
            </w:r>
          </w:p>
        </w:tc>
      </w:tr>
      <w:tr>
        <w:trPr/>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Buildings</w:t>
            </w:r>
          </w:p>
        </w:tc>
        <w:tc>
          <w:tcPr>
            <w:tcW w:w="47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3,320</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3,196</w:t>
            </w:r>
          </w:p>
        </w:tc>
        <w:tc>
          <w:tcPr>
            <w:tcW w:w="161" w:type="dxa"/>
            <w:tcBorders/>
            <w:vAlign w:val="bottom"/>
          </w:tcPr>
          <w:p>
            <w:pPr>
              <w:pStyle w:val="TableContents"/>
              <w:bidi w:val="0"/>
              <w:spacing w:before="0" w:after="283"/>
              <w:jc w:val="left"/>
              <w:rPr/>
            </w:pPr>
            <w:r>
              <w:rPr/>
              <w:t> </w:t>
            </w:r>
          </w:p>
        </w:tc>
      </w:tr>
      <w:tr>
        <w:trPr/>
        <w:tc>
          <w:tcPr>
            <w:tcW w:w="3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47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3,460</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3,484</w:t>
            </w:r>
          </w:p>
        </w:tc>
        <w:tc>
          <w:tcPr>
            <w:tcW w:w="161" w:type="dxa"/>
            <w:tcBorders/>
            <w:shd w:fill="CCEEFF" w:val="clear"/>
            <w:vAlign w:val="bottom"/>
          </w:tcPr>
          <w:p>
            <w:pPr>
              <w:pStyle w:val="TableContents"/>
              <w:bidi w:val="0"/>
              <w:spacing w:before="0" w:after="283"/>
              <w:jc w:val="left"/>
              <w:rPr/>
            </w:pPr>
            <w:r>
              <w:rPr/>
              <w:t> </w:t>
            </w:r>
          </w:p>
        </w:tc>
      </w:tr>
      <w:tr>
        <w:trPr/>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Other fixed assets</w:t>
            </w:r>
          </w:p>
        </w:tc>
        <w:tc>
          <w:tcPr>
            <w:tcW w:w="47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907</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905</w:t>
            </w:r>
          </w:p>
        </w:tc>
        <w:tc>
          <w:tcPr>
            <w:tcW w:w="161" w:type="dxa"/>
            <w:tcBorders/>
            <w:vAlign w:val="bottom"/>
          </w:tcPr>
          <w:p>
            <w:pPr>
              <w:pStyle w:val="TableContents"/>
              <w:bidi w:val="0"/>
              <w:spacing w:before="0" w:after="283"/>
              <w:jc w:val="left"/>
              <w:rPr/>
            </w:pPr>
            <w:r>
              <w:rPr/>
              <w:t> </w:t>
            </w:r>
          </w:p>
        </w:tc>
      </w:tr>
      <w:tr>
        <w:trPr/>
        <w:tc>
          <w:tcPr>
            <w:tcW w:w="340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property, plant, and equipment, gross</w:t>
            </w:r>
          </w:p>
        </w:tc>
        <w:tc>
          <w:tcPr>
            <w:tcW w:w="47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45,379</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44,737</w:t>
            </w:r>
          </w:p>
        </w:tc>
        <w:tc>
          <w:tcPr>
            <w:tcW w:w="161" w:type="dxa"/>
            <w:tcBorders/>
            <w:shd w:fill="CCEEFF" w:val="clear"/>
            <w:vAlign w:val="bottom"/>
          </w:tcPr>
          <w:p>
            <w:pPr>
              <w:pStyle w:val="TableContents"/>
              <w:bidi w:val="0"/>
              <w:spacing w:before="0" w:after="283"/>
              <w:jc w:val="left"/>
              <w:rPr/>
            </w:pPr>
            <w:r>
              <w:rPr/>
              <w:t> </w:t>
            </w:r>
          </w:p>
        </w:tc>
      </w:tr>
      <w:tr>
        <w:trPr/>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7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(15,381</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(14,694</w:t>
            </w:r>
          </w:p>
        </w:tc>
        <w:tc>
          <w:tcPr>
            <w:tcW w:w="161" w:type="dxa"/>
            <w:tcBorders/>
            <w:vAlign w:val="bottom"/>
          </w:tcPr>
          <w:p>
            <w:pPr>
              <w:pStyle w:val="TableContents"/>
              <w:bidi w:val="0"/>
              <w:spacing w:before="0" w:after="283"/>
              <w:jc w:val="left"/>
              <w:rPr/>
            </w:pPr>
            <w:r>
              <w:rPr/>
              <w:t>) </w:t>
            </w:r>
          </w:p>
        </w:tc>
      </w:tr>
      <w:tr>
        <w:trPr/>
        <w:tc>
          <w:tcPr>
            <w:tcW w:w="340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property, plant, and equipment, net</w:t>
            </w:r>
          </w:p>
        </w:tc>
        <w:tc>
          <w:tcPr>
            <w:tcW w:w="47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w:t>
            </w:r>
          </w:p>
        </w:tc>
        <w:tc>
          <w:tcPr>
            <w:tcW w:w="1390" w:type="dxa"/>
            <w:tcBorders/>
            <w:shd w:fill="CCEEFF" w:val="clear"/>
            <w:vAlign w:val="bottom"/>
          </w:tcPr>
          <w:p>
            <w:pPr>
              <w:pStyle w:val="TableContents"/>
              <w:bidi w:val="0"/>
              <w:spacing w:before="0" w:after="283"/>
              <w:jc w:val="right"/>
              <w:rPr/>
            </w:pPr>
            <w:r>
              <w:rPr/>
              <w:t>29,998</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11" w:type="dxa"/>
            <w:tcBorders/>
            <w:shd w:fill="CCEEFF" w:val="clear"/>
            <w:vAlign w:val="bottom"/>
          </w:tcPr>
          <w:p>
            <w:pPr>
              <w:pStyle w:val="TableContents"/>
              <w:bidi w:val="0"/>
              <w:spacing w:before="0" w:after="283"/>
              <w:jc w:val="right"/>
              <w:rPr/>
            </w:pPr>
            <w:r>
              <w:rPr/>
              <w:t>30,043</w:t>
            </w:r>
          </w:p>
        </w:tc>
        <w:tc>
          <w:tcPr>
            <w:tcW w:w="161" w:type="dxa"/>
            <w:tcBorders/>
            <w:shd w:fill="CCEEFF" w:val="clear"/>
            <w:vAlign w:val="bottom"/>
          </w:tcPr>
          <w:p>
            <w:pPr>
              <w:pStyle w:val="TableContents"/>
              <w:bidi w:val="0"/>
              <w:spacing w:before="0" w:after="283"/>
              <w:jc w:val="left"/>
              <w:rPr/>
            </w:pPr>
            <w:r>
              <w:rPr/>
              <w:t> </w:t>
            </w:r>
          </w:p>
        </w:tc>
      </w:tr>
      <w:tr>
        <w:trPr/>
        <w:tc>
          <w:tcPr>
            <w:tcW w:w="340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related to property, plant and equipment was $1.0 million and $1.3 million for the three months ended March 31, 2026 and 2025, respectively. This includes $0.2 million and $0.5 million of depreciation expense recognized in Cost of Revenue during the three months ended March 31, 2026 and 2025,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NOTE 8 – Goodwill and Intangible Assets </w:t>
      </w:r>
    </w:p>
    <w:p>
      <w:pPr>
        <w:pStyle w:val="TextBody"/>
        <w:bidi w:val="0"/>
        <w:spacing w:before="120" w:after="0"/>
        <w:jc w:val="left"/>
        <w:rPr>
          <w:rFonts w:ascii="Times New Roman" w:hAnsi="Times New Roman"/>
          <w:b/>
          <w:sz w:val="20"/>
        </w:rPr>
      </w:pPr>
      <w:r>
        <w:rPr>
          <w:rFonts w:ascii="Times New Roman" w:hAnsi="Times New Roman"/>
          <w:b/>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Goodwill arising from acquisitions primarily relates to the reputation the Operating Subsidiaries have established within local communities, strength of their customer bases, and assembled workforce that will remain after the business combination is completed.</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changes in the carrying amount of the Company’s goodwill. All goodwill is reported within the Small Business Acquisitions segment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60"/>
        <w:gridCol w:w="466"/>
        <w:gridCol w:w="146"/>
        <w:gridCol w:w="908"/>
        <w:gridCol w:w="159"/>
      </w:tblGrid>
      <w:tr>
        <w:trPr/>
        <w:tc>
          <w:tcPr>
            <w:tcW w:w="5260"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2026</w:t>
            </w:r>
          </w:p>
        </w:tc>
        <w:tc>
          <w:tcPr>
            <w:tcW w:w="4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908" w:type="dxa"/>
            <w:tcBorders/>
            <w:shd w:fill="CCEEFF" w:val="clear"/>
            <w:vAlign w:val="bottom"/>
          </w:tcPr>
          <w:p>
            <w:pPr>
              <w:pStyle w:val="TableContents"/>
              <w:bidi w:val="0"/>
              <w:spacing w:before="0" w:after="283"/>
              <w:jc w:val="right"/>
              <w:rPr/>
            </w:pPr>
            <w:r>
              <w:rPr/>
              <w:t>244,743</w:t>
            </w:r>
          </w:p>
        </w:tc>
        <w:tc>
          <w:tcPr>
            <w:tcW w:w="159" w:type="dxa"/>
            <w:tcBorders/>
            <w:shd w:fill="CCEEFF" w:val="clear"/>
            <w:vAlign w:val="bottom"/>
          </w:tcPr>
          <w:p>
            <w:pPr>
              <w:pStyle w:val="TableContents"/>
              <w:bidi w:val="0"/>
              <w:spacing w:before="0" w:after="283"/>
              <w:jc w:val="left"/>
              <w:rPr/>
            </w:pPr>
            <w:r>
              <w:rPr/>
              <w:t> </w:t>
            </w:r>
          </w:p>
        </w:tc>
      </w:tr>
      <w:tr>
        <w:trPr/>
        <w:tc>
          <w:tcPr>
            <w:tcW w:w="5260" w:type="dxa"/>
            <w:tcBorders/>
          </w:tcPr>
          <w:p>
            <w:pPr>
              <w:pStyle w:val="TableContents"/>
              <w:bidi w:val="0"/>
              <w:spacing w:before="0" w:after="0"/>
              <w:jc w:val="left"/>
              <w:rPr>
                <w:rFonts w:ascii="Times New Roman" w:hAnsi="Times New Roman"/>
                <w:sz w:val="20"/>
              </w:rPr>
            </w:pPr>
            <w:r>
              <w:rPr>
                <w:rFonts w:ascii="Times New Roman" w:hAnsi="Times New Roman"/>
                <w:sz w:val="20"/>
              </w:rPr>
              <w:t>Goodwill as a result of acquisitions</w:t>
            </w:r>
          </w:p>
        </w:tc>
        <w:tc>
          <w:tcPr>
            <w:tcW w:w="4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1,795</w:t>
            </w:r>
          </w:p>
        </w:tc>
        <w:tc>
          <w:tcPr>
            <w:tcW w:w="159" w:type="dxa"/>
            <w:tcBorders/>
            <w:vAlign w:val="bottom"/>
          </w:tcPr>
          <w:p>
            <w:pPr>
              <w:pStyle w:val="TableContents"/>
              <w:bidi w:val="0"/>
              <w:spacing w:before="0" w:after="283"/>
              <w:jc w:val="left"/>
              <w:rPr/>
            </w:pPr>
            <w:r>
              <w:rPr/>
              <w:t> </w:t>
            </w:r>
          </w:p>
        </w:tc>
      </w:tr>
      <w:tr>
        <w:trPr/>
        <w:tc>
          <w:tcPr>
            <w:tcW w:w="5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accounting adjustments</w:t>
            </w:r>
          </w:p>
        </w:tc>
        <w:tc>
          <w:tcPr>
            <w:tcW w:w="4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(405</w:t>
            </w:r>
          </w:p>
        </w:tc>
        <w:tc>
          <w:tcPr>
            <w:tcW w:w="159" w:type="dxa"/>
            <w:tcBorders/>
            <w:shd w:fill="CCEEFF" w:val="clear"/>
            <w:vAlign w:val="bottom"/>
          </w:tcPr>
          <w:p>
            <w:pPr>
              <w:pStyle w:val="TableContents"/>
              <w:bidi w:val="0"/>
              <w:spacing w:before="0" w:after="283"/>
              <w:jc w:val="left"/>
              <w:rPr/>
            </w:pPr>
            <w:r>
              <w:rPr/>
              <w:t>) </w:t>
            </w:r>
          </w:p>
        </w:tc>
      </w:tr>
      <w:tr>
        <w:trPr/>
        <w:tc>
          <w:tcPr>
            <w:tcW w:w="5260" w:type="dxa"/>
            <w:tcBorders/>
          </w:tcPr>
          <w:p>
            <w:pPr>
              <w:pStyle w:val="TableContents"/>
              <w:bidi w:val="0"/>
              <w:spacing w:before="0" w:after="0"/>
              <w:jc w:val="left"/>
              <w:rPr>
                <w:rFonts w:ascii="Times New Roman" w:hAnsi="Times New Roman"/>
                <w:sz w:val="20"/>
              </w:rPr>
            </w:pPr>
            <w:r>
              <w:rPr>
                <w:rFonts w:ascii="Times New Roman" w:hAnsi="Times New Roman"/>
                <w:sz w:val="20"/>
              </w:rPr>
              <w:t>Currency translation</w:t>
            </w:r>
          </w:p>
        </w:tc>
        <w:tc>
          <w:tcPr>
            <w:tcW w:w="4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(694</w:t>
            </w:r>
          </w:p>
        </w:tc>
        <w:tc>
          <w:tcPr>
            <w:tcW w:w="159" w:type="dxa"/>
            <w:tcBorders/>
            <w:vAlign w:val="bottom"/>
          </w:tcPr>
          <w:p>
            <w:pPr>
              <w:pStyle w:val="TableContents"/>
              <w:bidi w:val="0"/>
              <w:spacing w:before="0" w:after="283"/>
              <w:jc w:val="left"/>
              <w:rPr/>
            </w:pPr>
            <w:r>
              <w:rPr/>
              <w:t>) </w:t>
            </w:r>
          </w:p>
        </w:tc>
      </w:tr>
      <w:tr>
        <w:trPr/>
        <w:tc>
          <w:tcPr>
            <w:tcW w:w="5260" w:type="dxa"/>
            <w:tcBorders/>
            <w:vAlign w:val="bottom"/>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March 31, 2026</w:t>
            </w:r>
          </w:p>
        </w:tc>
        <w:tc>
          <w:tcPr>
            <w:tcW w:w="4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908" w:type="dxa"/>
            <w:tcBorders/>
            <w:shd w:fill="CCEEFF" w:val="clear"/>
            <w:vAlign w:val="bottom"/>
          </w:tcPr>
          <w:p>
            <w:pPr>
              <w:pStyle w:val="TableContents"/>
              <w:bidi w:val="0"/>
              <w:spacing w:before="0" w:after="283"/>
              <w:jc w:val="right"/>
              <w:rPr/>
            </w:pPr>
            <w:r>
              <w:rPr/>
              <w:t>245,439</w:t>
            </w:r>
          </w:p>
        </w:tc>
        <w:tc>
          <w:tcPr>
            <w:tcW w:w="159" w:type="dxa"/>
            <w:tcBorders/>
            <w:shd w:fill="CCEEFF" w:val="clear"/>
            <w:vAlign w:val="bottom"/>
          </w:tcPr>
          <w:p>
            <w:pPr>
              <w:pStyle w:val="TableContents"/>
              <w:bidi w:val="0"/>
              <w:spacing w:before="0" w:after="283"/>
              <w:jc w:val="left"/>
              <w:rPr/>
            </w:pPr>
            <w:r>
              <w:rPr/>
              <w:t> </w:t>
            </w:r>
          </w:p>
        </w:tc>
      </w:tr>
      <w:tr>
        <w:trPr/>
        <w:tc>
          <w:tcPr>
            <w:tcW w:w="5260" w:type="dxa"/>
            <w:tcBorders/>
            <w:vAlign w:val="bottom"/>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2026, the Company did not recognize any Goodwill Impairment. </w:t>
      </w:r>
    </w:p>
    <w:p>
      <w:pPr>
        <w:pStyle w:val="TextBody"/>
        <w:bidi w:val="0"/>
        <w:spacing w:before="360" w:after="0"/>
        <w:jc w:val="left"/>
        <w:rPr>
          <w:rFonts w:ascii="Times New Roman" w:hAnsi="Times New Roman"/>
          <w:b/>
          <w:sz w:val="20"/>
        </w:rPr>
      </w:pPr>
      <w:r>
        <w:rPr>
          <w:rFonts w:ascii="Times New Roman" w:hAnsi="Times New Roman"/>
          <w:b/>
          <w:sz w:val="20"/>
        </w:rPr>
        <w:t xml:space="preserve">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Intangible assets primarily consist of trade names, customer-related intangible assets, and internally developed software. The internally developed software relates to proprietary software platforms utilized by Operating Subsidiaries and corporate. The Company does not have any definitive plans to sell or license these platforms to third parties in the near future. Internally developed software is amortized on a straight-line basis over 3 years. For the three months ended March 31, 2026 and 2025, respectively, the Company recognized $1.0 million and $1.0 million of amortization expense relating to internally developed software. </w:t>
      </w:r>
    </w:p>
    <w:p>
      <w:pPr>
        <w:pStyle w:val="TextBody"/>
        <w:bidi w:val="0"/>
        <w:spacing w:before="240" w:after="0"/>
        <w:jc w:val="left"/>
        <w:rPr>
          <w:rFonts w:ascii="Times New Roman" w:hAnsi="Times New Roman"/>
          <w:sz w:val="20"/>
        </w:rPr>
      </w:pPr>
      <w:r>
        <w:rPr>
          <w:rFonts w:ascii="Times New Roman" w:hAnsi="Times New Roman"/>
          <w:sz w:val="20"/>
        </w:rPr>
        <w:t xml:space="preserve">Acquired trade names represent a target’s portfolio of marketing intangible assets. The Company values trade name intangible assets using a benchmarking method. Acquired trade names are amortized over a 10-year useful life using the straight-line amortization method. For the three months ended March 31, 2026 and 2025, the Company recognized $0.5 million and $0.4 million of amortization expense related to trade names, respectively. There were no definite-lived intangible asset impairment charges recognized during the three months ended March 31, 2026. The amortization expense recognized during the three months ended March 31, 2025 includes $0.1 million of definite-lived intangible asset impairment charges. </w:t>
      </w:r>
    </w:p>
    <w:p>
      <w:pPr>
        <w:pStyle w:val="TextBody"/>
        <w:bidi w:val="0"/>
        <w:spacing w:before="240" w:after="0"/>
        <w:jc w:val="left"/>
        <w:rPr>
          <w:rFonts w:ascii="Times New Roman" w:hAnsi="Times New Roman"/>
          <w:sz w:val="20"/>
        </w:rPr>
      </w:pPr>
      <w:r>
        <w:rPr>
          <w:rFonts w:ascii="Times New Roman" w:hAnsi="Times New Roman"/>
          <w:sz w:val="20"/>
        </w:rPr>
        <w:t xml:space="preserve">Customer-related intangible assets consist of contractual and non-contractual customer relationships. The Company estimates the fair values of acquired customer-related intangible assets as of their acquisition dates using an income approach. Acquired customer-related intangible assets are amortized over their estimated useful lives using the straight-line amortization method. For the three months ended March 31, 2026 and 2025, the Company recognized $0.2 million and an immaterial amount of amortization expense related to customer-related intangible assets,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Intangible assets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30"/>
        <w:gridCol w:w="346"/>
        <w:gridCol w:w="164"/>
        <w:gridCol w:w="814"/>
        <w:gridCol w:w="60"/>
        <w:gridCol w:w="346"/>
        <w:gridCol w:w="214"/>
        <w:gridCol w:w="1238"/>
        <w:gridCol w:w="169"/>
        <w:gridCol w:w="346"/>
        <w:gridCol w:w="157"/>
        <w:gridCol w:w="722"/>
        <w:gridCol w:w="66"/>
      </w:tblGrid>
      <w:tr>
        <w:trPr/>
        <w:tc>
          <w:tcPr>
            <w:tcW w:w="3930"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93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423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March 31, 2026 (Unaudited)</w:t>
            </w:r>
          </w:p>
        </w:tc>
        <w:tc>
          <w:tcPr>
            <w:tcW w:w="66" w:type="dxa"/>
            <w:tcBorders/>
            <w:vAlign w:val="bottom"/>
          </w:tcPr>
          <w:p>
            <w:pPr>
              <w:pStyle w:val="TableContents"/>
              <w:bidi w:val="0"/>
              <w:spacing w:before="0" w:after="283"/>
              <w:jc w:val="left"/>
              <w:rPr/>
            </w:pPr>
            <w:r>
              <w:rPr/>
              <w:t> </w:t>
            </w:r>
          </w:p>
        </w:tc>
      </w:tr>
      <w:tr>
        <w:trPr/>
        <w:tc>
          <w:tcPr>
            <w:tcW w:w="393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Carrying</w:t>
              <w:br/>
              <w:t>Amount</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6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Asset</w:t>
            </w:r>
          </w:p>
        </w:tc>
        <w:tc>
          <w:tcPr>
            <w:tcW w:w="66" w:type="dxa"/>
            <w:tcBorders/>
            <w:vAlign w:val="bottom"/>
          </w:tcPr>
          <w:p>
            <w:pPr>
              <w:pStyle w:val="TableContents"/>
              <w:bidi w:val="0"/>
              <w:spacing w:before="0" w:after="283"/>
              <w:jc w:val="left"/>
              <w:rPr/>
            </w:pPr>
            <w:r>
              <w:rPr/>
              <w:t> </w:t>
            </w:r>
          </w:p>
        </w:tc>
      </w:tr>
      <w:tr>
        <w:trPr/>
        <w:tc>
          <w:tcPr>
            <w:tcW w:w="39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34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16,575</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(4,230</w:t>
            </w:r>
          </w:p>
        </w:tc>
        <w:tc>
          <w:tcPr>
            <w:tcW w:w="16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12,346</w:t>
            </w:r>
          </w:p>
        </w:tc>
        <w:tc>
          <w:tcPr>
            <w:tcW w:w="66" w:type="dxa"/>
            <w:tcBorders/>
            <w:shd w:fill="CCEEFF" w:val="clear"/>
            <w:vAlign w:val="bottom"/>
          </w:tcPr>
          <w:p>
            <w:pPr>
              <w:pStyle w:val="TableContents"/>
              <w:bidi w:val="0"/>
              <w:spacing w:before="0" w:after="283"/>
              <w:jc w:val="left"/>
              <w:rPr/>
            </w:pPr>
            <w:r>
              <w:rPr/>
              <w:t> </w:t>
            </w:r>
          </w:p>
        </w:tc>
      </w:tr>
      <w:tr>
        <w:trPr/>
        <w:tc>
          <w:tcPr>
            <w:tcW w:w="3930" w:type="dxa"/>
            <w:tcBorders/>
          </w:tcPr>
          <w:p>
            <w:pPr>
              <w:pStyle w:val="TableContents"/>
              <w:bidi w:val="0"/>
              <w:spacing w:before="0" w:after="0"/>
              <w:jc w:val="left"/>
              <w:rPr>
                <w:rFonts w:ascii="Times New Roman" w:hAnsi="Times New Roman"/>
                <w:sz w:val="20"/>
              </w:rPr>
            </w:pPr>
            <w:r>
              <w:rPr>
                <w:rFonts w:ascii="Times New Roman" w:hAnsi="Times New Roman"/>
                <w:sz w:val="20"/>
              </w:rPr>
              <w:t>Internally developed software</w:t>
            </w:r>
          </w:p>
        </w:tc>
        <w:tc>
          <w:tcPr>
            <w:tcW w:w="34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16,353</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(10,090</w:t>
            </w:r>
          </w:p>
        </w:tc>
        <w:tc>
          <w:tcPr>
            <w:tcW w:w="16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6,263</w:t>
            </w:r>
          </w:p>
        </w:tc>
        <w:tc>
          <w:tcPr>
            <w:tcW w:w="66" w:type="dxa"/>
            <w:tcBorders/>
            <w:vAlign w:val="bottom"/>
          </w:tcPr>
          <w:p>
            <w:pPr>
              <w:pStyle w:val="TableContents"/>
              <w:bidi w:val="0"/>
              <w:spacing w:before="0" w:after="283"/>
              <w:jc w:val="left"/>
              <w:rPr/>
            </w:pPr>
            <w:r>
              <w:rPr/>
              <w:t> </w:t>
            </w:r>
          </w:p>
        </w:tc>
      </w:tr>
      <w:tr>
        <w:trPr/>
        <w:tc>
          <w:tcPr>
            <w:tcW w:w="39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related intangibles</w:t>
            </w:r>
          </w:p>
        </w:tc>
        <w:tc>
          <w:tcPr>
            <w:tcW w:w="34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6,009</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(150</w:t>
            </w:r>
          </w:p>
        </w:tc>
        <w:tc>
          <w:tcPr>
            <w:tcW w:w="16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5,859</w:t>
            </w:r>
          </w:p>
        </w:tc>
        <w:tc>
          <w:tcPr>
            <w:tcW w:w="66" w:type="dxa"/>
            <w:tcBorders/>
            <w:shd w:fill="CCEEFF" w:val="clear"/>
            <w:vAlign w:val="bottom"/>
          </w:tcPr>
          <w:p>
            <w:pPr>
              <w:pStyle w:val="TableContents"/>
              <w:bidi w:val="0"/>
              <w:spacing w:before="0" w:after="283"/>
              <w:jc w:val="left"/>
              <w:rPr/>
            </w:pPr>
            <w:r>
              <w:rPr/>
              <w:t> </w:t>
            </w:r>
          </w:p>
        </w:tc>
      </w:tr>
      <w:tr>
        <w:trPr/>
        <w:tc>
          <w:tcPr>
            <w:tcW w:w="3930"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93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4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814" w:type="dxa"/>
            <w:tcBorders/>
            <w:vAlign w:val="bottom"/>
          </w:tcPr>
          <w:p>
            <w:pPr>
              <w:pStyle w:val="TableContents"/>
              <w:bidi w:val="0"/>
              <w:spacing w:before="0" w:after="283"/>
              <w:jc w:val="right"/>
              <w:rPr/>
            </w:pPr>
            <w:r>
              <w:rPr/>
              <w:t>38,938</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(14,470</w:t>
            </w:r>
          </w:p>
        </w:tc>
        <w:tc>
          <w:tcPr>
            <w:tcW w:w="16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722" w:type="dxa"/>
            <w:tcBorders/>
            <w:vAlign w:val="bottom"/>
          </w:tcPr>
          <w:p>
            <w:pPr>
              <w:pStyle w:val="TableContents"/>
              <w:bidi w:val="0"/>
              <w:spacing w:before="0" w:after="283"/>
              <w:jc w:val="right"/>
              <w:rPr/>
            </w:pPr>
            <w:r>
              <w:rPr/>
              <w:t>24,468</w:t>
            </w:r>
          </w:p>
        </w:tc>
        <w:tc>
          <w:tcPr>
            <w:tcW w:w="66" w:type="dxa"/>
            <w:tcBorders/>
            <w:vAlign w:val="bottom"/>
          </w:tcPr>
          <w:p>
            <w:pPr>
              <w:pStyle w:val="TableContents"/>
              <w:bidi w:val="0"/>
              <w:spacing w:before="0" w:after="283"/>
              <w:jc w:val="left"/>
              <w:rPr/>
            </w:pPr>
            <w:r>
              <w:rPr/>
              <w:t> </w:t>
            </w:r>
          </w:p>
        </w:tc>
      </w:tr>
      <w:tr>
        <w:trPr/>
        <w:tc>
          <w:tcPr>
            <w:tcW w:w="3930"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31"/>
        <w:gridCol w:w="346"/>
        <w:gridCol w:w="175"/>
        <w:gridCol w:w="814"/>
        <w:gridCol w:w="60"/>
        <w:gridCol w:w="346"/>
        <w:gridCol w:w="214"/>
        <w:gridCol w:w="1238"/>
        <w:gridCol w:w="155"/>
        <w:gridCol w:w="346"/>
        <w:gridCol w:w="157"/>
        <w:gridCol w:w="721"/>
        <w:gridCol w:w="69"/>
      </w:tblGrid>
      <w:tr>
        <w:trPr/>
        <w:tc>
          <w:tcPr>
            <w:tcW w:w="3931"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422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69" w:type="dxa"/>
            <w:tcBorders/>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9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Carrying</w:t>
              <w:br/>
              <w:t>Amount</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5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Asset</w:t>
            </w:r>
          </w:p>
        </w:tc>
        <w:tc>
          <w:tcPr>
            <w:tcW w:w="69"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34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15,453</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(3,855</w:t>
            </w:r>
          </w:p>
        </w:tc>
        <w:tc>
          <w:tcPr>
            <w:tcW w:w="155"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11,598</w:t>
            </w:r>
          </w:p>
        </w:tc>
        <w:tc>
          <w:tcPr>
            <w:tcW w:w="69"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Internally developed software</w:t>
            </w:r>
          </w:p>
        </w:tc>
        <w:tc>
          <w:tcPr>
            <w:tcW w:w="34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15,872</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(9,102</w:t>
            </w:r>
          </w:p>
        </w:tc>
        <w:tc>
          <w:tcPr>
            <w:tcW w:w="15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6,769</w:t>
            </w:r>
          </w:p>
        </w:tc>
        <w:tc>
          <w:tcPr>
            <w:tcW w:w="69"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related intangibles</w:t>
            </w:r>
          </w:p>
        </w:tc>
        <w:tc>
          <w:tcPr>
            <w:tcW w:w="34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6,080</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6,080</w:t>
            </w:r>
          </w:p>
        </w:tc>
        <w:tc>
          <w:tcPr>
            <w:tcW w:w="69" w:type="dxa"/>
            <w:tcBorders/>
            <w:shd w:fill="CCEEFF" w:val="clear"/>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4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814" w:type="dxa"/>
            <w:tcBorders/>
            <w:vAlign w:val="bottom"/>
          </w:tcPr>
          <w:p>
            <w:pPr>
              <w:pStyle w:val="TableContents"/>
              <w:bidi w:val="0"/>
              <w:spacing w:before="0" w:after="283"/>
              <w:jc w:val="right"/>
              <w:rPr/>
            </w:pPr>
            <w:r>
              <w:rPr/>
              <w:t>37,405</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(12,957</w:t>
            </w:r>
          </w:p>
        </w:tc>
        <w:tc>
          <w:tcPr>
            <w:tcW w:w="15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721" w:type="dxa"/>
            <w:tcBorders/>
            <w:vAlign w:val="bottom"/>
          </w:tcPr>
          <w:p>
            <w:pPr>
              <w:pStyle w:val="TableContents"/>
              <w:bidi w:val="0"/>
              <w:spacing w:before="0" w:after="283"/>
              <w:jc w:val="right"/>
              <w:rPr/>
            </w:pPr>
            <w:r>
              <w:rPr/>
              <w:t>24,447</w:t>
            </w:r>
          </w:p>
        </w:tc>
        <w:tc>
          <w:tcPr>
            <w:tcW w:w="69" w:type="dxa"/>
            <w:tcBorders/>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Estimated amortization expense for intangible assets as of March 31, 2026 are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50"/>
        <w:gridCol w:w="425"/>
        <w:gridCol w:w="142"/>
        <w:gridCol w:w="760"/>
        <w:gridCol w:w="62"/>
      </w:tblGrid>
      <w:tr>
        <w:trPr/>
        <w:tc>
          <w:tcPr>
            <w:tcW w:w="5550"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Remainder of 2026</w:t>
            </w:r>
          </w:p>
        </w:tc>
        <w:tc>
          <w:tcPr>
            <w:tcW w:w="42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4,635</w:t>
            </w:r>
          </w:p>
        </w:tc>
        <w:tc>
          <w:tcPr>
            <w:tcW w:w="62" w:type="dxa"/>
            <w:tcBorders/>
            <w:shd w:fill="CCEEFF" w:val="clear"/>
            <w:vAlign w:val="bottom"/>
          </w:tcPr>
          <w:p>
            <w:pPr>
              <w:pStyle w:val="TableContents"/>
              <w:bidi w:val="0"/>
              <w:spacing w:before="0" w:after="283"/>
              <w:jc w:val="left"/>
              <w:rPr/>
            </w:pPr>
            <w:r>
              <w:rPr/>
              <w:t> </w:t>
            </w:r>
          </w:p>
        </w:tc>
      </w:tr>
      <w:tr>
        <w:trPr/>
        <w:tc>
          <w:tcPr>
            <w:tcW w:w="5550"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2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4,153</w:t>
            </w:r>
          </w:p>
        </w:tc>
        <w:tc>
          <w:tcPr>
            <w:tcW w:w="62" w:type="dxa"/>
            <w:tcBorders/>
            <w:vAlign w:val="bottom"/>
          </w:tcPr>
          <w:p>
            <w:pPr>
              <w:pStyle w:val="TableContents"/>
              <w:bidi w:val="0"/>
              <w:spacing w:before="0" w:after="283"/>
              <w:jc w:val="left"/>
              <w:rPr/>
            </w:pPr>
            <w:r>
              <w:rPr/>
              <w:t> </w:t>
            </w:r>
          </w:p>
        </w:tc>
      </w:tr>
      <w:tr>
        <w:trPr/>
        <w:tc>
          <w:tcPr>
            <w:tcW w:w="5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2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3,229</w:t>
            </w:r>
          </w:p>
        </w:tc>
        <w:tc>
          <w:tcPr>
            <w:tcW w:w="62" w:type="dxa"/>
            <w:tcBorders/>
            <w:shd w:fill="CCEEFF" w:val="clear"/>
            <w:vAlign w:val="bottom"/>
          </w:tcPr>
          <w:p>
            <w:pPr>
              <w:pStyle w:val="TableContents"/>
              <w:bidi w:val="0"/>
              <w:spacing w:before="0" w:after="283"/>
              <w:jc w:val="left"/>
              <w:rPr/>
            </w:pPr>
            <w:r>
              <w:rPr/>
              <w:t> </w:t>
            </w:r>
          </w:p>
        </w:tc>
      </w:tr>
      <w:tr>
        <w:trPr/>
        <w:tc>
          <w:tcPr>
            <w:tcW w:w="5550"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2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2,644</w:t>
            </w:r>
          </w:p>
        </w:tc>
        <w:tc>
          <w:tcPr>
            <w:tcW w:w="62" w:type="dxa"/>
            <w:tcBorders/>
            <w:vAlign w:val="bottom"/>
          </w:tcPr>
          <w:p>
            <w:pPr>
              <w:pStyle w:val="TableContents"/>
              <w:bidi w:val="0"/>
              <w:spacing w:before="0" w:after="283"/>
              <w:jc w:val="left"/>
              <w:rPr/>
            </w:pPr>
            <w:r>
              <w:rPr/>
              <w:t> </w:t>
            </w:r>
          </w:p>
        </w:tc>
      </w:tr>
      <w:tr>
        <w:trPr/>
        <w:tc>
          <w:tcPr>
            <w:tcW w:w="5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2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2,236</w:t>
            </w:r>
          </w:p>
        </w:tc>
        <w:tc>
          <w:tcPr>
            <w:tcW w:w="62" w:type="dxa"/>
            <w:tcBorders/>
            <w:shd w:fill="CCEEFF" w:val="clear"/>
            <w:vAlign w:val="bottom"/>
          </w:tcPr>
          <w:p>
            <w:pPr>
              <w:pStyle w:val="TableContents"/>
              <w:bidi w:val="0"/>
              <w:spacing w:before="0" w:after="283"/>
              <w:jc w:val="left"/>
              <w:rPr/>
            </w:pPr>
            <w:r>
              <w:rPr/>
              <w:t> </w:t>
            </w:r>
          </w:p>
        </w:tc>
      </w:tr>
      <w:tr>
        <w:trPr/>
        <w:tc>
          <w:tcPr>
            <w:tcW w:w="5550" w:type="dxa"/>
            <w:tcBorders/>
          </w:tcPr>
          <w:p>
            <w:pPr>
              <w:pStyle w:val="TableContents"/>
              <w:bidi w:val="0"/>
              <w:spacing w:before="0" w:after="0"/>
              <w:jc w:val="left"/>
              <w:rPr>
                <w:rFonts w:ascii="Times New Roman" w:hAnsi="Times New Roman"/>
                <w:sz w:val="20"/>
              </w:rPr>
            </w:pPr>
            <w:r>
              <w:rPr>
                <w:rFonts w:ascii="Times New Roman" w:hAnsi="Times New Roman"/>
                <w:sz w:val="20"/>
              </w:rPr>
              <w:t>2031 and thereafter</w:t>
            </w:r>
          </w:p>
        </w:tc>
        <w:tc>
          <w:tcPr>
            <w:tcW w:w="42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7,570</w:t>
            </w:r>
          </w:p>
        </w:tc>
        <w:tc>
          <w:tcPr>
            <w:tcW w:w="62" w:type="dxa"/>
            <w:tcBorders/>
            <w:vAlign w:val="bottom"/>
          </w:tcPr>
          <w:p>
            <w:pPr>
              <w:pStyle w:val="TableContents"/>
              <w:bidi w:val="0"/>
              <w:spacing w:before="0" w:after="283"/>
              <w:jc w:val="left"/>
              <w:rPr/>
            </w:pPr>
            <w:r>
              <w:rPr/>
              <w:t> </w:t>
            </w:r>
          </w:p>
        </w:tc>
      </w:tr>
      <w:tr>
        <w:trPr/>
        <w:tc>
          <w:tcPr>
            <w:tcW w:w="555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2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24,468</w:t>
            </w:r>
          </w:p>
        </w:tc>
        <w:tc>
          <w:tcPr>
            <w:tcW w:w="62" w:type="dxa"/>
            <w:tcBorders/>
            <w:shd w:fill="CCEEFF" w:val="clear"/>
            <w:vAlign w:val="bottom"/>
          </w:tcPr>
          <w:p>
            <w:pPr>
              <w:pStyle w:val="TableContents"/>
              <w:bidi w:val="0"/>
              <w:spacing w:before="0" w:after="283"/>
              <w:jc w:val="left"/>
              <w:rPr/>
            </w:pPr>
            <w:r>
              <w:rPr/>
              <w:t> </w:t>
            </w:r>
          </w:p>
        </w:tc>
      </w:tr>
      <w:tr>
        <w:trPr/>
        <w:tc>
          <w:tcPr>
            <w:tcW w:w="555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9 – Debt </w:t>
      </w:r>
    </w:p>
    <w:p>
      <w:pPr>
        <w:pStyle w:val="TextBody"/>
        <w:bidi w:val="0"/>
        <w:spacing w:before="120" w:after="0"/>
        <w:jc w:val="left"/>
        <w:rPr>
          <w:rFonts w:ascii="Times New Roman" w:hAnsi="Times New Roman"/>
          <w:sz w:val="20"/>
        </w:rPr>
      </w:pPr>
      <w:r>
        <w:rPr>
          <w:rFonts w:ascii="Times New Roman" w:hAnsi="Times New Roman"/>
          <w:sz w:val="20"/>
        </w:rPr>
        <w:t>Debt of the Company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71"/>
        <w:gridCol w:w="464"/>
        <w:gridCol w:w="240"/>
        <w:gridCol w:w="1432"/>
        <w:gridCol w:w="155"/>
        <w:gridCol w:w="464"/>
        <w:gridCol w:w="216"/>
        <w:gridCol w:w="1253"/>
        <w:gridCol w:w="160"/>
      </w:tblGrid>
      <w:tr>
        <w:trPr/>
        <w:tc>
          <w:tcPr>
            <w:tcW w:w="3371"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6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br/>
              <w:t>(Unaudited)</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60" w:type="dxa"/>
            <w:tcBorders/>
            <w:vAlign w:val="bottom"/>
          </w:tcPr>
          <w:p>
            <w:pPr>
              <w:pStyle w:val="TableContents"/>
              <w:bidi w:val="0"/>
              <w:spacing w:before="0" w:after="283"/>
              <w:jc w:val="left"/>
              <w:rPr/>
            </w:pPr>
            <w:r>
              <w:rPr/>
              <w:t> </w:t>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i80 Facility</w:t>
            </w:r>
          </w:p>
        </w:tc>
        <w:tc>
          <w:tcPr>
            <w:tcW w:w="4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1432" w:type="dxa"/>
            <w:tcBorders/>
            <w:shd w:fill="CCEEFF" w:val="clear"/>
            <w:vAlign w:val="bottom"/>
          </w:tcPr>
          <w:p>
            <w:pPr>
              <w:pStyle w:val="TableContents"/>
              <w:bidi w:val="0"/>
              <w:spacing w:before="0" w:after="283"/>
              <w:jc w:val="right"/>
              <w:rPr/>
            </w:pPr>
            <w:r>
              <w:rPr/>
              <w:t>153,377</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153,377</w:t>
            </w:r>
          </w:p>
        </w:tc>
        <w:tc>
          <w:tcPr>
            <w:tcW w:w="160" w:type="dxa"/>
            <w:tcBorders/>
            <w:shd w:fill="CCEEFF" w:val="clear"/>
            <w:vAlign w:val="bottom"/>
          </w:tcPr>
          <w:p>
            <w:pPr>
              <w:pStyle w:val="TableContents"/>
              <w:bidi w:val="0"/>
              <w:spacing w:before="0" w:after="283"/>
              <w:jc w:val="left"/>
              <w:rPr/>
            </w:pPr>
            <w:r>
              <w:rPr/>
              <w:t> </w:t>
            </w:r>
          </w:p>
        </w:tc>
      </w:tr>
      <w:tr>
        <w:trPr/>
        <w:tc>
          <w:tcPr>
            <w:tcW w:w="3371" w:type="dxa"/>
            <w:tcBorders/>
          </w:tcPr>
          <w:p>
            <w:pPr>
              <w:pStyle w:val="TableContents"/>
              <w:bidi w:val="0"/>
              <w:spacing w:before="0" w:after="0"/>
              <w:jc w:val="left"/>
              <w:rPr>
                <w:rFonts w:ascii="Times New Roman" w:hAnsi="Times New Roman"/>
                <w:sz w:val="20"/>
              </w:rPr>
            </w:pPr>
            <w:r>
              <w:rPr>
                <w:rFonts w:ascii="Times New Roman" w:hAnsi="Times New Roman"/>
                <w:sz w:val="20"/>
              </w:rPr>
              <w:t>Single Company Term Loans</w:t>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59,190</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61,510</w:t>
            </w:r>
          </w:p>
        </w:tc>
        <w:tc>
          <w:tcPr>
            <w:tcW w:w="160" w:type="dxa"/>
            <w:tcBorders/>
            <w:vAlign w:val="bottom"/>
          </w:tcPr>
          <w:p>
            <w:pPr>
              <w:pStyle w:val="TableContents"/>
              <w:bidi w:val="0"/>
              <w:spacing w:before="0" w:after="283"/>
              <w:jc w:val="left"/>
              <w:rPr/>
            </w:pPr>
            <w:r>
              <w:rPr/>
              <w:t> </w:t>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HBC Credit Facility</w:t>
            </w:r>
          </w:p>
        </w:tc>
        <w:tc>
          <w:tcPr>
            <w:tcW w:w="4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34,850</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31,250</w:t>
            </w:r>
          </w:p>
        </w:tc>
        <w:tc>
          <w:tcPr>
            <w:tcW w:w="160" w:type="dxa"/>
            <w:tcBorders/>
            <w:shd w:fill="CCEEFF" w:val="clear"/>
            <w:vAlign w:val="bottom"/>
          </w:tcPr>
          <w:p>
            <w:pPr>
              <w:pStyle w:val="TableContents"/>
              <w:bidi w:val="0"/>
              <w:spacing w:before="0" w:after="283"/>
              <w:jc w:val="left"/>
              <w:rPr/>
            </w:pPr>
            <w:r>
              <w:rPr/>
              <w:t> </w:t>
            </w:r>
          </w:p>
        </w:tc>
      </w:tr>
      <w:tr>
        <w:trPr/>
        <w:tc>
          <w:tcPr>
            <w:tcW w:w="3371" w:type="dxa"/>
            <w:tcBorders/>
          </w:tcPr>
          <w:p>
            <w:pPr>
              <w:pStyle w:val="TableContents"/>
              <w:bidi w:val="0"/>
              <w:spacing w:before="0" w:after="0"/>
              <w:jc w:val="left"/>
              <w:rPr>
                <w:rFonts w:ascii="Times New Roman" w:hAnsi="Times New Roman"/>
                <w:sz w:val="20"/>
              </w:rPr>
            </w:pPr>
            <w:r>
              <w:rPr>
                <w:rFonts w:ascii="Times New Roman" w:hAnsi="Times New Roman"/>
                <w:sz w:val="20"/>
              </w:rPr>
              <w:t>TDC Loans</w:t>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15,375</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15,375</w:t>
            </w:r>
          </w:p>
        </w:tc>
        <w:tc>
          <w:tcPr>
            <w:tcW w:w="160" w:type="dxa"/>
            <w:tcBorders/>
            <w:vAlign w:val="bottom"/>
          </w:tcPr>
          <w:p>
            <w:pPr>
              <w:pStyle w:val="TableContents"/>
              <w:bidi w:val="0"/>
              <w:spacing w:before="0" w:after="283"/>
              <w:jc w:val="left"/>
              <w:rPr/>
            </w:pPr>
            <w:r>
              <w:rPr/>
              <w:t> </w:t>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Former Owner Bridge Loan</w:t>
            </w:r>
          </w:p>
        </w:tc>
        <w:tc>
          <w:tcPr>
            <w:tcW w:w="4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10,000</w:t>
            </w:r>
          </w:p>
        </w:tc>
        <w:tc>
          <w:tcPr>
            <w:tcW w:w="160" w:type="dxa"/>
            <w:tcBorders/>
            <w:shd w:fill="CCEEFF" w:val="clear"/>
            <w:vAlign w:val="bottom"/>
          </w:tcPr>
          <w:p>
            <w:pPr>
              <w:pStyle w:val="TableContents"/>
              <w:bidi w:val="0"/>
              <w:spacing w:before="0" w:after="283"/>
              <w:jc w:val="left"/>
              <w:rPr/>
            </w:pPr>
            <w:r>
              <w:rPr/>
              <w:t> </w:t>
            </w:r>
          </w:p>
        </w:tc>
      </w:tr>
      <w:tr>
        <w:trPr/>
        <w:tc>
          <w:tcPr>
            <w:tcW w:w="3371" w:type="dxa"/>
            <w:tcBorders/>
          </w:tcPr>
          <w:p>
            <w:pPr>
              <w:pStyle w:val="TableContents"/>
              <w:bidi w:val="0"/>
              <w:spacing w:before="0" w:after="0"/>
              <w:jc w:val="left"/>
              <w:rPr>
                <w:rFonts w:ascii="Times New Roman" w:hAnsi="Times New Roman"/>
                <w:sz w:val="20"/>
              </w:rPr>
            </w:pPr>
            <w:r>
              <w:rPr>
                <w:rFonts w:ascii="Times New Roman" w:hAnsi="Times New Roman"/>
                <w:sz w:val="20"/>
              </w:rPr>
              <w:t>Vehicle and equipment notes</w:t>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5,036</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4,838</w:t>
            </w:r>
          </w:p>
        </w:tc>
        <w:tc>
          <w:tcPr>
            <w:tcW w:w="160" w:type="dxa"/>
            <w:tcBorders/>
            <w:vAlign w:val="bottom"/>
          </w:tcPr>
          <w:p>
            <w:pPr>
              <w:pStyle w:val="TableContents"/>
              <w:bidi w:val="0"/>
              <w:spacing w:before="0" w:after="283"/>
              <w:jc w:val="left"/>
              <w:rPr/>
            </w:pPr>
            <w:r>
              <w:rPr/>
              <w:t> </w:t>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Seller Notes</w:t>
            </w:r>
          </w:p>
        </w:tc>
        <w:tc>
          <w:tcPr>
            <w:tcW w:w="4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30,747</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29,840</w:t>
            </w:r>
          </w:p>
        </w:tc>
        <w:tc>
          <w:tcPr>
            <w:tcW w:w="160" w:type="dxa"/>
            <w:tcBorders/>
            <w:shd w:fill="CCEEFF" w:val="clear"/>
            <w:vAlign w:val="bottom"/>
          </w:tcPr>
          <w:p>
            <w:pPr>
              <w:pStyle w:val="TableContents"/>
              <w:bidi w:val="0"/>
              <w:spacing w:before="0" w:after="283"/>
              <w:jc w:val="left"/>
              <w:rPr/>
            </w:pPr>
            <w:r>
              <w:rPr/>
              <w:t> </w:t>
            </w:r>
          </w:p>
        </w:tc>
      </w:tr>
      <w:tr>
        <w:trPr/>
        <w:tc>
          <w:tcPr>
            <w:tcW w:w="3371" w:type="dxa"/>
            <w:tcBorders/>
          </w:tcPr>
          <w:p>
            <w:pPr>
              <w:pStyle w:val="TableContents"/>
              <w:bidi w:val="0"/>
              <w:spacing w:before="0" w:after="0"/>
              <w:jc w:val="left"/>
              <w:rPr>
                <w:rFonts w:ascii="Times New Roman" w:hAnsi="Times New Roman"/>
                <w:sz w:val="20"/>
              </w:rPr>
            </w:pPr>
            <w:r>
              <w:rPr>
                <w:rFonts w:ascii="Times New Roman" w:hAnsi="Times New Roman"/>
                <w:sz w:val="20"/>
              </w:rPr>
              <w:t>Less: Debt issuance costs</w:t>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(1,793</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(2,842</w:t>
            </w:r>
          </w:p>
        </w:tc>
        <w:tc>
          <w:tcPr>
            <w:tcW w:w="160" w:type="dxa"/>
            <w:tcBorders/>
            <w:vAlign w:val="bottom"/>
          </w:tcPr>
          <w:p>
            <w:pPr>
              <w:pStyle w:val="TableContents"/>
              <w:bidi w:val="0"/>
              <w:spacing w:before="0" w:after="283"/>
              <w:jc w:val="left"/>
              <w:rPr/>
            </w:pPr>
            <w:r>
              <w:rPr/>
              <w:t>) </w:t>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Discounts</w:t>
            </w:r>
          </w:p>
        </w:tc>
        <w:tc>
          <w:tcPr>
            <w:tcW w:w="4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(6,577</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(11,802</w:t>
            </w:r>
          </w:p>
        </w:tc>
        <w:tc>
          <w:tcPr>
            <w:tcW w:w="160" w:type="dxa"/>
            <w:tcBorders/>
            <w:shd w:fill="CCEEFF" w:val="clear"/>
            <w:vAlign w:val="bottom"/>
          </w:tcPr>
          <w:p>
            <w:pPr>
              <w:pStyle w:val="TableContents"/>
              <w:bidi w:val="0"/>
              <w:spacing w:before="0" w:after="283"/>
              <w:jc w:val="left"/>
              <w:rPr/>
            </w:pPr>
            <w:r>
              <w:rPr/>
              <w:t>) </w:t>
            </w:r>
          </w:p>
        </w:tc>
      </w:tr>
      <w:tr>
        <w:trPr/>
        <w:tc>
          <w:tcPr>
            <w:tcW w:w="3371"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371" w:type="dxa"/>
            <w:tcBorders/>
          </w:tcPr>
          <w:p>
            <w:pPr>
              <w:pStyle w:val="TableContents"/>
              <w:bidi w:val="0"/>
              <w:spacing w:before="0" w:after="0"/>
              <w:jc w:val="left"/>
              <w:rPr>
                <w:rFonts w:ascii="Times New Roman" w:hAnsi="Times New Roman"/>
                <w:sz w:val="20"/>
              </w:rPr>
            </w:pPr>
            <w:r>
              <w:rPr>
                <w:rFonts w:ascii="Times New Roman" w:hAnsi="Times New Roman"/>
                <w:sz w:val="20"/>
              </w:rPr>
              <w:t>Total debt, net</w:t>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300,204</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291,546</w:t>
            </w:r>
          </w:p>
        </w:tc>
        <w:tc>
          <w:tcPr>
            <w:tcW w:w="160" w:type="dxa"/>
            <w:tcBorders/>
            <w:vAlign w:val="bottom"/>
          </w:tcPr>
          <w:p>
            <w:pPr>
              <w:pStyle w:val="TableContents"/>
              <w:bidi w:val="0"/>
              <w:spacing w:before="0" w:after="283"/>
              <w:jc w:val="left"/>
              <w:rPr/>
            </w:pPr>
            <w:r>
              <w:rPr/>
              <w:t> </w:t>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maturities</w:t>
            </w:r>
          </w:p>
        </w:tc>
        <w:tc>
          <w:tcPr>
            <w:tcW w:w="4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215,703</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206,982</w:t>
            </w:r>
          </w:p>
        </w:tc>
        <w:tc>
          <w:tcPr>
            <w:tcW w:w="160" w:type="dxa"/>
            <w:tcBorders/>
            <w:shd w:fill="CCEEFF" w:val="clear"/>
            <w:vAlign w:val="bottom"/>
          </w:tcPr>
          <w:p>
            <w:pPr>
              <w:pStyle w:val="TableContents"/>
              <w:bidi w:val="0"/>
              <w:spacing w:before="0" w:after="283"/>
              <w:jc w:val="left"/>
              <w:rPr/>
            </w:pPr>
            <w:r>
              <w:rPr/>
              <w:t> </w:t>
            </w:r>
          </w:p>
        </w:tc>
      </w:tr>
      <w:tr>
        <w:trPr/>
        <w:tc>
          <w:tcPr>
            <w:tcW w:w="3371" w:type="dxa"/>
            <w:tcBorders/>
          </w:tcPr>
          <w:p>
            <w:pPr>
              <w:pStyle w:val="TableContents"/>
              <w:bidi w:val="0"/>
              <w:spacing w:before="0" w:after="0"/>
              <w:jc w:val="left"/>
              <w:rPr>
                <w:rFonts w:ascii="Times New Roman" w:hAnsi="Times New Roman"/>
                <w:sz w:val="20"/>
              </w:rPr>
            </w:pPr>
            <w:r>
              <w:rPr>
                <w:rFonts w:ascii="Times New Roman" w:hAnsi="Times New Roman"/>
                <w:sz w:val="20"/>
              </w:rPr>
              <w:t>Less: Debt issuance costs</w:t>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(1,443</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(1,585</w:t>
            </w:r>
          </w:p>
        </w:tc>
        <w:tc>
          <w:tcPr>
            <w:tcW w:w="160" w:type="dxa"/>
            <w:tcBorders/>
            <w:vAlign w:val="bottom"/>
          </w:tcPr>
          <w:p>
            <w:pPr>
              <w:pStyle w:val="TableContents"/>
              <w:bidi w:val="0"/>
              <w:spacing w:before="0" w:after="283"/>
              <w:jc w:val="left"/>
              <w:rPr/>
            </w:pPr>
            <w:r>
              <w:rPr/>
              <w:t>) </w:t>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Discounts</w:t>
            </w:r>
          </w:p>
        </w:tc>
        <w:tc>
          <w:tcPr>
            <w:tcW w:w="4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(85</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(5,250</w:t>
            </w:r>
          </w:p>
        </w:tc>
        <w:tc>
          <w:tcPr>
            <w:tcW w:w="160" w:type="dxa"/>
            <w:tcBorders/>
            <w:shd w:fill="CCEEFF" w:val="clear"/>
            <w:vAlign w:val="bottom"/>
          </w:tcPr>
          <w:p>
            <w:pPr>
              <w:pStyle w:val="TableContents"/>
              <w:bidi w:val="0"/>
              <w:spacing w:before="0" w:after="283"/>
              <w:jc w:val="left"/>
              <w:rPr/>
            </w:pPr>
            <w:r>
              <w:rPr/>
              <w:t>) </w:t>
            </w:r>
          </w:p>
        </w:tc>
      </w:tr>
      <w:tr>
        <w:trPr/>
        <w:tc>
          <w:tcPr>
            <w:tcW w:w="3371"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371" w:type="dxa"/>
            <w:tcBorders/>
          </w:tcPr>
          <w:p>
            <w:pPr>
              <w:pStyle w:val="TableContents"/>
              <w:bidi w:val="0"/>
              <w:spacing w:before="0" w:after="0"/>
              <w:jc w:val="left"/>
              <w:rPr>
                <w:rFonts w:ascii="Times New Roman" w:hAnsi="Times New Roman"/>
                <w:sz w:val="20"/>
              </w:rPr>
            </w:pPr>
            <w:r>
              <w:rPr>
                <w:rFonts w:ascii="Times New Roman" w:hAnsi="Times New Roman"/>
                <w:sz w:val="20"/>
              </w:rPr>
              <w:t>Total Short-Term Debt and Current Portion of Long-Term Debt</w:t>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214,175</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200,147</w:t>
            </w:r>
          </w:p>
        </w:tc>
        <w:tc>
          <w:tcPr>
            <w:tcW w:w="160" w:type="dxa"/>
            <w:tcBorders/>
            <w:vAlign w:val="bottom"/>
          </w:tcPr>
          <w:p>
            <w:pPr>
              <w:pStyle w:val="TableContents"/>
              <w:bidi w:val="0"/>
              <w:spacing w:before="0" w:after="283"/>
              <w:jc w:val="left"/>
              <w:rPr/>
            </w:pPr>
            <w:r>
              <w:rPr/>
              <w:t> </w:t>
            </w:r>
          </w:p>
        </w:tc>
      </w:tr>
      <w:tr>
        <w:trPr/>
        <w:tc>
          <w:tcPr>
            <w:tcW w:w="3371"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debt</w:t>
            </w:r>
          </w:p>
        </w:tc>
        <w:tc>
          <w:tcPr>
            <w:tcW w:w="4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1432" w:type="dxa"/>
            <w:tcBorders/>
            <w:shd w:fill="CCEEFF" w:val="clear"/>
            <w:vAlign w:val="bottom"/>
          </w:tcPr>
          <w:p>
            <w:pPr>
              <w:pStyle w:val="TableContents"/>
              <w:bidi w:val="0"/>
              <w:spacing w:before="0" w:after="283"/>
              <w:jc w:val="right"/>
              <w:rPr/>
            </w:pPr>
            <w:r>
              <w:rPr/>
              <w:t>86,029</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91,399</w:t>
            </w:r>
          </w:p>
        </w:tc>
        <w:tc>
          <w:tcPr>
            <w:tcW w:w="160" w:type="dxa"/>
            <w:tcBorders/>
            <w:shd w:fill="CCEEFF" w:val="clear"/>
            <w:vAlign w:val="bottom"/>
          </w:tcPr>
          <w:p>
            <w:pPr>
              <w:pStyle w:val="TableContents"/>
              <w:bidi w:val="0"/>
              <w:spacing w:before="0" w:after="283"/>
              <w:jc w:val="left"/>
              <w:rPr/>
            </w:pPr>
            <w:r>
              <w:rPr/>
              <w:t> </w:t>
            </w:r>
          </w:p>
        </w:tc>
      </w:tr>
      <w:tr>
        <w:trPr/>
        <w:tc>
          <w:tcPr>
            <w:tcW w:w="3371"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i80 Facility </w:t>
      </w:r>
    </w:p>
    <w:p>
      <w:pPr>
        <w:pStyle w:val="TextBody"/>
        <w:bidi w:val="0"/>
        <w:spacing w:before="120" w:after="0"/>
        <w:jc w:val="left"/>
        <w:rPr>
          <w:rFonts w:ascii="Times New Roman" w:hAnsi="Times New Roman"/>
          <w:sz w:val="20"/>
        </w:rPr>
      </w:pPr>
      <w:r>
        <w:rPr>
          <w:rFonts w:ascii="Times New Roman" w:hAnsi="Times New Roman"/>
          <w:sz w:val="20"/>
        </w:rPr>
        <w:t xml:space="preserve">On May 4, 2021, Teamshares Continuity Holdings LLC, a wholly owned subsidiary of Teamshares, entered into a credit facility with i80 Group LLC, as the lender (the “i80 Facility”) and Westmount Group LLC, a wholly owned subsidiary of i80 Group LLC, as the administrative and collateral agent. The i80 matures on December 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2026. As of March 31, 2026 and December 31, 2025, respectively, the weighted average interest rate on borrowings under the i80 Facility was 14.7% and 15.2%. </w:t>
      </w:r>
    </w:p>
    <w:p>
      <w:pPr>
        <w:pStyle w:val="TextBody"/>
        <w:bidi w:val="0"/>
        <w:spacing w:before="240" w:after="0"/>
        <w:jc w:val="left"/>
        <w:rPr>
          <w:rFonts w:ascii="Times New Roman" w:hAnsi="Times New Roman"/>
          <w:sz w:val="20"/>
        </w:rPr>
      </w:pPr>
      <w:r>
        <w:rPr>
          <w:rFonts w:ascii="Times New Roman" w:hAnsi="Times New Roman"/>
          <w:sz w:val="20"/>
        </w:rPr>
        <w:t xml:space="preserve">The i80 facility requires the Company to maintain a Collateral Account and a Collection Account. As of March 31, 2026 and December 31, 2025, respectively, the Collateral Account held balances of $6.4 million and $6.4 million, and the Collection Account held balances of $2.4 million and $4.8 million. </w:t>
      </w:r>
    </w:p>
    <w:p>
      <w:pPr>
        <w:pStyle w:val="TextBody"/>
        <w:bidi w:val="0"/>
        <w:spacing w:before="360" w:after="0"/>
        <w:jc w:val="left"/>
        <w:rPr>
          <w:rFonts w:ascii="Times New Roman" w:hAnsi="Times New Roman"/>
          <w:b/>
          <w:sz w:val="20"/>
        </w:rPr>
      </w:pPr>
      <w:r>
        <w:rPr>
          <w:rFonts w:ascii="Times New Roman" w:hAnsi="Times New Roman"/>
          <w:b/>
          <w:sz w:val="20"/>
        </w:rPr>
        <w:t xml:space="preserve">HBC Financing Arrangement </w:t>
      </w:r>
    </w:p>
    <w:p>
      <w:pPr>
        <w:pStyle w:val="TextBody"/>
        <w:bidi w:val="0"/>
        <w:spacing w:before="120" w:after="0"/>
        <w:jc w:val="left"/>
        <w:rPr>
          <w:rFonts w:ascii="Times New Roman" w:hAnsi="Times New Roman"/>
          <w:sz w:val="20"/>
        </w:rPr>
      </w:pPr>
      <w:r>
        <w:rPr>
          <w:rFonts w:ascii="Times New Roman" w:hAnsi="Times New Roman"/>
          <w:sz w:val="20"/>
        </w:rPr>
        <w:t xml:space="preserve">In March 2026, the HBC Credit Facility was amended to provide additional term loan commitments in an aggregate principal amount of $3.6 million. The Company received proceeds of $2.9 million and recognized a debt discount of $0.6 million and debt issuance costs of $0.1 million. The proceeds from this amendment were utilized to fund the business combination that was completed during the three months ended March 31, 2026. See NOTE 4. </w:t>
      </w:r>
    </w:p>
    <w:p>
      <w:pPr>
        <w:pStyle w:val="TextBody"/>
        <w:bidi w:val="0"/>
        <w:spacing w:before="240" w:after="0"/>
        <w:jc w:val="left"/>
        <w:rPr>
          <w:rFonts w:ascii="Times New Roman" w:hAnsi="Times New Roman"/>
          <w:sz w:val="20"/>
        </w:rPr>
      </w:pPr>
      <w:r>
        <w:rPr>
          <w:rFonts w:ascii="Times New Roman" w:hAnsi="Times New Roman"/>
          <w:sz w:val="20"/>
        </w:rPr>
        <w:t xml:space="preserve">The original maturity date of the HBC Credit Facility was the earliest of: 1) December 24, 2026, 2) the date on which the SPAC Merger is consummated, 3) the date on which the Merger Agreement is terminated, or 4) unless a Registration Statement on Form S-4 in connection with the SPAC Merger has been declared effective, the date that is 60 days prior to the Outside Date. The Outside Date is defined in the Merger Agreement as the date of May 31, 2026, or an applicable later date if extended pursuant to the terms of the Merger Agreement. The Company may voluntarily prepay the HBC Credit Facility without a prepayment penalty. </w:t>
      </w:r>
    </w:p>
    <w:p>
      <w:pPr>
        <w:pStyle w:val="TextBody"/>
        <w:bidi w:val="0"/>
        <w:spacing w:before="240" w:after="0"/>
        <w:jc w:val="left"/>
        <w:rPr>
          <w:rFonts w:ascii="Times New Roman" w:hAnsi="Times New Roman"/>
          <w:sz w:val="20"/>
        </w:rPr>
      </w:pPr>
      <w:r>
        <w:rPr>
          <w:rFonts w:ascii="Times New Roman" w:hAnsi="Times New Roman"/>
          <w:sz w:val="20"/>
        </w:rPr>
        <w:t xml:space="preserve">In March 2026, the Company and HBC amended the maturity date of the HBC Credit Facility to be the earliest of: 1) December 24, 2026, 2) the date on which the SPAC Merger is consummated, 3) the date on which the Merger Agreement is terminated, or 4) unless a Registration Statement on Form S-4 in connection with the SPAC Merger has been declared effective, the date that is 30 days prior to the Outside Date. The Outside Date was not affected by this amendment. During May 2026, the Outside Date was extended to July 15, 2026. See NOTE 16. </w:t>
      </w:r>
    </w:p>
    <w:p>
      <w:pPr>
        <w:pStyle w:val="TextBody"/>
        <w:bidi w:val="0"/>
        <w:spacing w:before="240" w:after="0"/>
        <w:jc w:val="left"/>
        <w:rPr>
          <w:rFonts w:ascii="Times New Roman" w:hAnsi="Times New Roman"/>
          <w:sz w:val="20"/>
        </w:rPr>
      </w:pPr>
      <w:r>
        <w:rPr>
          <w:rFonts w:ascii="Times New Roman" w:hAnsi="Times New Roman"/>
          <w:sz w:val="20"/>
        </w:rPr>
        <w:t xml:space="preserve">The Company amortizes debt discounts and debt issuance costs from the date the debt is issued through the earliest date at which the creditor can demand payment. Prior to the amendment of the maturity date of the HBC Credit Facility, the earliest date at which the creditor could demand repayment was 60 days prior to the Outside Date. Therefore, the Company recorded $5.8 million of debt discount amortization and $0.8 million of debt issuance cost amortization during the three months ended March 31, 2026. This amortization is recognized in Interest Expense, Net in the unaudited Consolidated Statements of Operations. As of March 31, 2026, there are no remaining unamortized discounts or debt issuance costs related to the HBC Credit Facility. </w:t>
      </w:r>
    </w:p>
    <w:p>
      <w:pPr>
        <w:pStyle w:val="TextBody"/>
        <w:bidi w:val="0"/>
        <w:spacing w:before="360" w:after="0"/>
        <w:jc w:val="left"/>
        <w:rPr>
          <w:rFonts w:ascii="Times New Roman" w:hAnsi="Times New Roman"/>
          <w:b/>
          <w:sz w:val="20"/>
        </w:rPr>
      </w:pPr>
      <w:r>
        <w:rPr>
          <w:rFonts w:ascii="Times New Roman" w:hAnsi="Times New Roman"/>
          <w:b/>
          <w:sz w:val="20"/>
        </w:rPr>
        <w:t xml:space="preserve">Former Owner Bridge Loan </w:t>
      </w:r>
    </w:p>
    <w:p>
      <w:pPr>
        <w:pStyle w:val="TextBody"/>
        <w:bidi w:val="0"/>
        <w:spacing w:before="120" w:after="0"/>
        <w:jc w:val="left"/>
        <w:rPr>
          <w:rFonts w:ascii="Times New Roman" w:hAnsi="Times New Roman"/>
          <w:sz w:val="20"/>
        </w:rPr>
      </w:pPr>
      <w:r>
        <w:rPr>
          <w:rFonts w:ascii="Times New Roman" w:hAnsi="Times New Roman"/>
          <w:sz w:val="20"/>
        </w:rPr>
        <w:t xml:space="preserve">During 2025, the acquisition of one Operating Subsidiary was financed with a loan to the sellers of the business (the “Former Owner Bridge Loan”). The remaining principal balance of the Former Owner Bridge Loan was $10.0 million as of March 31, 2026. In March 2026, the Former Owner Bridge Loan was amended to require the Company to pay $8.0 million of the outstanding principal to the lenders on July 1, 2026. As of December 31, 2025, this repayment was scheduled to occur on March 31, 2026. The remaining principal balance matures on March 31, 2027. The Former Owner Bridge Loan is included in Short-Term Debt and Current Portion of Long-Term Debt on the unaudited Consolidated Balance Sheets. The loan bears interest at 12.5% per annum, payable monthly in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Future maturities of long-term debt as of March 31, 2026 are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19"/>
        <w:gridCol w:w="474"/>
        <w:gridCol w:w="141"/>
        <w:gridCol w:w="942"/>
        <w:gridCol w:w="63"/>
      </w:tblGrid>
      <w:tr>
        <w:trPr/>
        <w:tc>
          <w:tcPr>
            <w:tcW w:w="5319" w:type="dxa"/>
            <w:tcBorders/>
            <w:vAlign w:val="center"/>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Remainder of 2026</w:t>
            </w:r>
          </w:p>
        </w:tc>
        <w:tc>
          <w:tcPr>
            <w:tcW w:w="47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215,150</w:t>
            </w:r>
          </w:p>
        </w:tc>
        <w:tc>
          <w:tcPr>
            <w:tcW w:w="63" w:type="dxa"/>
            <w:tcBorders/>
            <w:shd w:fill="CCEEFF" w:val="clear"/>
            <w:vAlign w:val="bottom"/>
          </w:tcPr>
          <w:p>
            <w:pPr>
              <w:pStyle w:val="TableContents"/>
              <w:bidi w:val="0"/>
              <w:spacing w:before="0" w:after="283"/>
              <w:jc w:val="left"/>
              <w:rPr/>
            </w:pPr>
            <w:r>
              <w:rPr/>
              <w:t> </w:t>
            </w:r>
          </w:p>
        </w:tc>
      </w:tr>
      <w:tr>
        <w:trPr/>
        <w:tc>
          <w:tcPr>
            <w:tcW w:w="5319"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20,978</w:t>
            </w:r>
          </w:p>
        </w:tc>
        <w:tc>
          <w:tcPr>
            <w:tcW w:w="63" w:type="dxa"/>
            <w:tcBorders/>
            <w:vAlign w:val="bottom"/>
          </w:tcPr>
          <w:p>
            <w:pPr>
              <w:pStyle w:val="TableContents"/>
              <w:bidi w:val="0"/>
              <w:spacing w:before="0" w:after="283"/>
              <w:jc w:val="left"/>
              <w:rPr/>
            </w:pPr>
            <w:r>
              <w:rPr/>
              <w:t> </w:t>
            </w:r>
          </w:p>
        </w:tc>
      </w:tr>
      <w:tr>
        <w:trPr/>
        <w:tc>
          <w:tcPr>
            <w:tcW w:w="53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10,713</w:t>
            </w:r>
          </w:p>
        </w:tc>
        <w:tc>
          <w:tcPr>
            <w:tcW w:w="63" w:type="dxa"/>
            <w:tcBorders/>
            <w:shd w:fill="CCEEFF" w:val="clear"/>
            <w:vAlign w:val="bottom"/>
          </w:tcPr>
          <w:p>
            <w:pPr>
              <w:pStyle w:val="TableContents"/>
              <w:bidi w:val="0"/>
              <w:spacing w:before="0" w:after="283"/>
              <w:jc w:val="left"/>
              <w:rPr/>
            </w:pPr>
            <w:r>
              <w:rPr/>
              <w:t> </w:t>
            </w:r>
          </w:p>
        </w:tc>
      </w:tr>
      <w:tr>
        <w:trPr/>
        <w:tc>
          <w:tcPr>
            <w:tcW w:w="5319"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7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13,139</w:t>
            </w:r>
          </w:p>
        </w:tc>
        <w:tc>
          <w:tcPr>
            <w:tcW w:w="63" w:type="dxa"/>
            <w:tcBorders/>
            <w:vAlign w:val="bottom"/>
          </w:tcPr>
          <w:p>
            <w:pPr>
              <w:pStyle w:val="TableContents"/>
              <w:bidi w:val="0"/>
              <w:spacing w:before="0" w:after="283"/>
              <w:jc w:val="left"/>
              <w:rPr/>
            </w:pPr>
            <w:r>
              <w:rPr/>
              <w:t> </w:t>
            </w:r>
          </w:p>
        </w:tc>
      </w:tr>
      <w:tr>
        <w:trPr/>
        <w:tc>
          <w:tcPr>
            <w:tcW w:w="53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7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42,183</w:t>
            </w:r>
          </w:p>
        </w:tc>
        <w:tc>
          <w:tcPr>
            <w:tcW w:w="63" w:type="dxa"/>
            <w:tcBorders/>
            <w:shd w:fill="CCEEFF" w:val="clear"/>
            <w:vAlign w:val="bottom"/>
          </w:tcPr>
          <w:p>
            <w:pPr>
              <w:pStyle w:val="TableContents"/>
              <w:bidi w:val="0"/>
              <w:spacing w:before="0" w:after="283"/>
              <w:jc w:val="left"/>
              <w:rPr/>
            </w:pPr>
            <w:r>
              <w:rPr/>
              <w:t> </w:t>
            </w:r>
          </w:p>
        </w:tc>
      </w:tr>
      <w:tr>
        <w:trPr/>
        <w:tc>
          <w:tcPr>
            <w:tcW w:w="5319" w:type="dxa"/>
            <w:tcBorders/>
          </w:tcPr>
          <w:p>
            <w:pPr>
              <w:pStyle w:val="TableContents"/>
              <w:bidi w:val="0"/>
              <w:spacing w:before="0" w:after="0"/>
              <w:jc w:val="left"/>
              <w:rPr>
                <w:rFonts w:ascii="Times New Roman" w:hAnsi="Times New Roman"/>
                <w:sz w:val="20"/>
              </w:rPr>
            </w:pPr>
            <w:r>
              <w:rPr>
                <w:rFonts w:ascii="Times New Roman" w:hAnsi="Times New Roman"/>
                <w:sz w:val="20"/>
              </w:rPr>
              <w:t>2031 and thereafter</w:t>
            </w:r>
          </w:p>
        </w:tc>
        <w:tc>
          <w:tcPr>
            <w:tcW w:w="47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6,412</w:t>
            </w:r>
          </w:p>
        </w:tc>
        <w:tc>
          <w:tcPr>
            <w:tcW w:w="63" w:type="dxa"/>
            <w:tcBorders/>
            <w:vAlign w:val="bottom"/>
          </w:tcPr>
          <w:p>
            <w:pPr>
              <w:pStyle w:val="TableContents"/>
              <w:bidi w:val="0"/>
              <w:spacing w:before="0" w:after="283"/>
              <w:jc w:val="left"/>
              <w:rPr/>
            </w:pPr>
            <w:r>
              <w:rPr/>
              <w:t> </w:t>
            </w:r>
          </w:p>
        </w:tc>
      </w:tr>
      <w:tr>
        <w:trPr/>
        <w:tc>
          <w:tcPr>
            <w:tcW w:w="5319"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308,574</w:t>
            </w:r>
          </w:p>
        </w:tc>
        <w:tc>
          <w:tcPr>
            <w:tcW w:w="63" w:type="dxa"/>
            <w:tcBorders/>
            <w:shd w:fill="CCEEFF" w:val="clear"/>
            <w:vAlign w:val="bottom"/>
          </w:tcPr>
          <w:p>
            <w:pPr>
              <w:pStyle w:val="TableContents"/>
              <w:bidi w:val="0"/>
              <w:spacing w:before="0" w:after="283"/>
              <w:jc w:val="left"/>
              <w:rPr/>
            </w:pPr>
            <w:r>
              <w:rPr/>
              <w:t> </w:t>
            </w:r>
          </w:p>
        </w:tc>
      </w:tr>
      <w:tr>
        <w:trPr/>
        <w:tc>
          <w:tcPr>
            <w:tcW w:w="5319"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was in compliance with all debt covenants as of March 31, 2026. If the Company fails to comply with any covenants, payments, or other terms of its debt agreements, and such failure constitutes an event of default, the lender would have the right to declare all borrowings outstanding, together with accrued and unpaid interest and fees, to be immediately due and payable. </w:t>
      </w:r>
    </w:p>
    <w:p>
      <w:pPr>
        <w:pStyle w:val="TextBody"/>
        <w:bidi w:val="0"/>
        <w:spacing w:before="360" w:after="0"/>
        <w:jc w:val="left"/>
        <w:rPr>
          <w:rFonts w:ascii="Times New Roman" w:hAnsi="Times New Roman"/>
          <w:b/>
          <w:sz w:val="20"/>
        </w:rPr>
      </w:pPr>
      <w:r>
        <w:rPr>
          <w:rFonts w:ascii="Times New Roman" w:hAnsi="Times New Roman"/>
          <w:b/>
          <w:sz w:val="20"/>
        </w:rPr>
        <w:t xml:space="preserve">NOTE 10 – Fair Value of Financial Instruments </w:t>
      </w:r>
    </w:p>
    <w:p>
      <w:pPr>
        <w:pStyle w:val="TextBody"/>
        <w:bidi w:val="0"/>
        <w:spacing w:before="12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changes in the warrant liability for the three months ended March 31, 2026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23"/>
        <w:gridCol w:w="423"/>
        <w:gridCol w:w="146"/>
        <w:gridCol w:w="587"/>
        <w:gridCol w:w="160"/>
      </w:tblGrid>
      <w:tr>
        <w:trPr/>
        <w:tc>
          <w:tcPr>
            <w:tcW w:w="5623"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2026</w:t>
            </w:r>
          </w:p>
        </w:tc>
        <w:tc>
          <w:tcPr>
            <w:tcW w:w="42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2,922</w:t>
            </w:r>
          </w:p>
        </w:tc>
        <w:tc>
          <w:tcPr>
            <w:tcW w:w="160" w:type="dxa"/>
            <w:tcBorders/>
            <w:shd w:fill="CCEEFF" w:val="clear"/>
            <w:vAlign w:val="bottom"/>
          </w:tcPr>
          <w:p>
            <w:pPr>
              <w:pStyle w:val="TableContents"/>
              <w:bidi w:val="0"/>
              <w:spacing w:before="0" w:after="283"/>
              <w:jc w:val="left"/>
              <w:rPr/>
            </w:pPr>
            <w:r>
              <w:rPr/>
              <w:t> </w:t>
            </w:r>
          </w:p>
        </w:tc>
      </w:tr>
      <w:tr>
        <w:trPr/>
        <w:tc>
          <w:tcPr>
            <w:tcW w:w="5623"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42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right"/>
              <w:rPr/>
            </w:pPr>
            <w:r>
              <w:rPr/>
              <w:t>(41</w:t>
            </w:r>
          </w:p>
        </w:tc>
        <w:tc>
          <w:tcPr>
            <w:tcW w:w="160" w:type="dxa"/>
            <w:tcBorders/>
            <w:vAlign w:val="bottom"/>
          </w:tcPr>
          <w:p>
            <w:pPr>
              <w:pStyle w:val="TableContents"/>
              <w:bidi w:val="0"/>
              <w:spacing w:before="0" w:after="283"/>
              <w:jc w:val="left"/>
              <w:rPr/>
            </w:pPr>
            <w:r>
              <w:rPr/>
              <w:t>) </w:t>
            </w:r>
          </w:p>
        </w:tc>
      </w:tr>
      <w:tr>
        <w:trPr/>
        <w:tc>
          <w:tcPr>
            <w:tcW w:w="5623"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58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March 31, 2026 (Unaudited)</w:t>
            </w:r>
          </w:p>
        </w:tc>
        <w:tc>
          <w:tcPr>
            <w:tcW w:w="42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2,881</w:t>
            </w:r>
          </w:p>
        </w:tc>
        <w:tc>
          <w:tcPr>
            <w:tcW w:w="160" w:type="dxa"/>
            <w:tcBorders/>
            <w:shd w:fill="CCEEFF" w:val="clear"/>
            <w:vAlign w:val="bottom"/>
          </w:tcPr>
          <w:p>
            <w:pPr>
              <w:pStyle w:val="TableContents"/>
              <w:bidi w:val="0"/>
              <w:spacing w:before="0" w:after="283"/>
              <w:jc w:val="left"/>
              <w:rPr/>
            </w:pPr>
            <w:r>
              <w:rPr/>
              <w:t> </w:t>
            </w:r>
          </w:p>
        </w:tc>
      </w:tr>
      <w:tr>
        <w:trPr/>
        <w:tc>
          <w:tcPr>
            <w:tcW w:w="5623"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58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Contingent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changes in contingent consideration liabilities for the three months ended March 31, 2026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27"/>
        <w:gridCol w:w="415"/>
        <w:gridCol w:w="147"/>
        <w:gridCol w:w="590"/>
        <w:gridCol w:w="160"/>
      </w:tblGrid>
      <w:tr>
        <w:trPr/>
        <w:tc>
          <w:tcPr>
            <w:tcW w:w="5627"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2026</w:t>
            </w:r>
          </w:p>
        </w:tc>
        <w:tc>
          <w:tcPr>
            <w:tcW w:w="4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9,195</w:t>
            </w:r>
          </w:p>
        </w:tc>
        <w:tc>
          <w:tcPr>
            <w:tcW w:w="160" w:type="dxa"/>
            <w:tcBorders/>
            <w:shd w:fill="CCEEFF" w:val="clear"/>
            <w:vAlign w:val="bottom"/>
          </w:tcPr>
          <w:p>
            <w:pPr>
              <w:pStyle w:val="TableContents"/>
              <w:bidi w:val="0"/>
              <w:spacing w:before="0" w:after="283"/>
              <w:jc w:val="left"/>
              <w:rPr/>
            </w:pPr>
            <w:r>
              <w:rPr/>
              <w:t> </w:t>
            </w:r>
          </w:p>
        </w:tc>
      </w:tr>
      <w:tr>
        <w:trPr/>
        <w:tc>
          <w:tcPr>
            <w:tcW w:w="5627" w:type="dxa"/>
            <w:tcBorders/>
          </w:tcPr>
          <w:p>
            <w:pPr>
              <w:pStyle w:val="TableContents"/>
              <w:bidi w:val="0"/>
              <w:spacing w:before="0" w:after="0"/>
              <w:jc w:val="left"/>
              <w:rPr>
                <w:rFonts w:ascii="Times New Roman" w:hAnsi="Times New Roman"/>
                <w:sz w:val="20"/>
              </w:rPr>
            </w:pPr>
            <w:r>
              <w:rPr>
                <w:rFonts w:ascii="Times New Roman" w:hAnsi="Times New Roman"/>
                <w:sz w:val="20"/>
              </w:rPr>
              <w:t>Earnouts for 2026 business combinations</w:t>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179</w:t>
            </w:r>
          </w:p>
        </w:tc>
        <w:tc>
          <w:tcPr>
            <w:tcW w:w="160" w:type="dxa"/>
            <w:tcBorders/>
            <w:vAlign w:val="bottom"/>
          </w:tcPr>
          <w:p>
            <w:pPr>
              <w:pStyle w:val="TableContents"/>
              <w:bidi w:val="0"/>
              <w:spacing w:before="0" w:after="283"/>
              <w:jc w:val="left"/>
              <w:rPr/>
            </w:pPr>
            <w:r>
              <w:rPr/>
              <w:t> </w:t>
            </w:r>
          </w:p>
        </w:tc>
      </w:tr>
      <w:tr>
        <w:trPr/>
        <w:tc>
          <w:tcPr>
            <w:tcW w:w="5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earnout consideration</w:t>
            </w:r>
          </w:p>
        </w:tc>
        <w:tc>
          <w:tcPr>
            <w:tcW w:w="4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(3</w:t>
            </w:r>
          </w:p>
        </w:tc>
        <w:tc>
          <w:tcPr>
            <w:tcW w:w="160" w:type="dxa"/>
            <w:tcBorders/>
            <w:shd w:fill="CCEEFF" w:val="clear"/>
            <w:vAlign w:val="bottom"/>
          </w:tcPr>
          <w:p>
            <w:pPr>
              <w:pStyle w:val="TableContents"/>
              <w:bidi w:val="0"/>
              <w:spacing w:before="0" w:after="283"/>
              <w:jc w:val="left"/>
              <w:rPr/>
            </w:pPr>
            <w:r>
              <w:rPr/>
              <w:t>) </w:t>
            </w:r>
          </w:p>
        </w:tc>
      </w:tr>
      <w:tr>
        <w:trPr/>
        <w:tc>
          <w:tcPr>
            <w:tcW w:w="5627"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impact on earnout consideration</w:t>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(106</w:t>
            </w:r>
          </w:p>
        </w:tc>
        <w:tc>
          <w:tcPr>
            <w:tcW w:w="160" w:type="dxa"/>
            <w:tcBorders/>
            <w:vAlign w:val="bottom"/>
          </w:tcPr>
          <w:p>
            <w:pPr>
              <w:pStyle w:val="TableContents"/>
              <w:bidi w:val="0"/>
              <w:spacing w:before="0" w:after="283"/>
              <w:jc w:val="left"/>
              <w:rPr/>
            </w:pPr>
            <w:r>
              <w:rPr/>
              <w:t>) </w:t>
            </w:r>
          </w:p>
        </w:tc>
      </w:tr>
      <w:tr>
        <w:trPr/>
        <w:tc>
          <w:tcPr>
            <w:tcW w:w="5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Earnout payments made in period</w:t>
            </w:r>
          </w:p>
        </w:tc>
        <w:tc>
          <w:tcPr>
            <w:tcW w:w="4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(847</w:t>
            </w:r>
          </w:p>
        </w:tc>
        <w:tc>
          <w:tcPr>
            <w:tcW w:w="160" w:type="dxa"/>
            <w:tcBorders/>
            <w:shd w:fill="CCEEFF" w:val="clear"/>
            <w:vAlign w:val="bottom"/>
          </w:tcPr>
          <w:p>
            <w:pPr>
              <w:pStyle w:val="TableContents"/>
              <w:bidi w:val="0"/>
              <w:spacing w:before="0" w:after="283"/>
              <w:jc w:val="left"/>
              <w:rPr/>
            </w:pPr>
            <w:r>
              <w:rPr/>
              <w:t>) </w:t>
            </w:r>
          </w:p>
        </w:tc>
      </w:tr>
      <w:tr>
        <w:trPr/>
        <w:tc>
          <w:tcPr>
            <w:tcW w:w="5627"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7" w:type="dxa"/>
            <w:tcBorders/>
          </w:tcPr>
          <w:p>
            <w:pPr>
              <w:pStyle w:val="TableContents"/>
              <w:bidi w:val="0"/>
              <w:spacing w:before="0" w:after="0"/>
              <w:jc w:val="left"/>
              <w:rPr>
                <w:rFonts w:ascii="Times New Roman" w:hAnsi="Times New Roman"/>
                <w:sz w:val="20"/>
              </w:rPr>
            </w:pPr>
            <w:r>
              <w:rPr>
                <w:rFonts w:ascii="Times New Roman" w:hAnsi="Times New Roman"/>
                <w:sz w:val="20"/>
              </w:rPr>
              <w:t>Balance at March 31, 2026 (Unaudited)</w:t>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590" w:type="dxa"/>
            <w:tcBorders/>
            <w:vAlign w:val="bottom"/>
          </w:tcPr>
          <w:p>
            <w:pPr>
              <w:pStyle w:val="TableContents"/>
              <w:bidi w:val="0"/>
              <w:spacing w:before="0" w:after="283"/>
              <w:jc w:val="right"/>
              <w:rPr/>
            </w:pPr>
            <w:r>
              <w:rPr/>
              <w:t>8,417</w:t>
            </w:r>
          </w:p>
        </w:tc>
        <w:tc>
          <w:tcPr>
            <w:tcW w:w="160" w:type="dxa"/>
            <w:tcBorders/>
            <w:vAlign w:val="bottom"/>
          </w:tcPr>
          <w:p>
            <w:pPr>
              <w:pStyle w:val="TableContents"/>
              <w:bidi w:val="0"/>
              <w:spacing w:before="0" w:after="283"/>
              <w:jc w:val="left"/>
              <w:rPr/>
            </w:pPr>
            <w:r>
              <w:rPr/>
              <w:t> </w:t>
            </w:r>
          </w:p>
        </w:tc>
      </w:tr>
      <w:tr>
        <w:trPr/>
        <w:tc>
          <w:tcPr>
            <w:tcW w:w="5627"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of financial instruments between the three levels of the fair value hierarchy during the three months ended March 31, 2026. </w:t>
      </w:r>
    </w:p>
    <w:p>
      <w:pPr>
        <w:pStyle w:val="TextBody"/>
        <w:bidi w:val="0"/>
        <w:spacing w:before="360" w:after="0"/>
        <w:jc w:val="left"/>
        <w:rPr>
          <w:rFonts w:ascii="Times New Roman" w:hAnsi="Times New Roman"/>
          <w:b/>
          <w:sz w:val="20"/>
        </w:rPr>
      </w:pPr>
      <w:r>
        <w:rPr>
          <w:rFonts w:ascii="Times New Roman" w:hAnsi="Times New Roman"/>
          <w:b/>
          <w:sz w:val="20"/>
        </w:rPr>
        <w:t xml:space="preserve">Simple Agreements for Future Equity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2026, the Company entered into Simple Agreements for Future Equity (“SAFE Notes”) with unaffiliated investors in exchange for proceeds of $1.1 million. SAFE Notes will automatically convert into equity of the Combined Company (as defined in Note 1 of the audited consolidated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financial statements of the Company for the fiscal year ended December 31, 2025) upon the consummation of the SPAC Merger. If the SPAC Merger has not occurred within 18 months of the SAFE Notes investment, then the Company is required to repurchase the SAFE Notes for cash in an amount equal to the product of (i) the SAFE Notes proceeds and (ii) 1.25. No SAFE Notes were converted to equity instruments during the three months ended March 31, 2026. </w:t>
      </w:r>
    </w:p>
    <w:p>
      <w:pPr>
        <w:pStyle w:val="TextBody"/>
        <w:bidi w:val="0"/>
        <w:spacing w:before="240" w:after="0"/>
        <w:jc w:val="left"/>
        <w:rPr>
          <w:rFonts w:ascii="Times New Roman" w:hAnsi="Times New Roman"/>
          <w:sz w:val="20"/>
        </w:rPr>
      </w:pPr>
      <w:r>
        <w:rPr>
          <w:rFonts w:ascii="Times New Roman" w:hAnsi="Times New Roman"/>
          <w:sz w:val="20"/>
        </w:rPr>
        <w:t xml:space="preserve">The carrying value of SAFE Notes was $4.1 million and $3.0 million as of March 31, 2026 and December 31, 2025, respectively. SAFE Notes are included in Other Long-Term Liabilities on the unaudited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NOTE 11 – Leases </w:t>
      </w:r>
    </w:p>
    <w:p>
      <w:pPr>
        <w:pStyle w:val="TextBody"/>
        <w:bidi w:val="0"/>
        <w:spacing w:before="120" w:after="0"/>
        <w:jc w:val="left"/>
        <w:rPr>
          <w:rFonts w:ascii="Times New Roman" w:hAnsi="Times New Roman"/>
          <w:sz w:val="20"/>
        </w:rPr>
      </w:pPr>
      <w:r>
        <w:rPr>
          <w:rFonts w:ascii="Times New Roman" w:hAnsi="Times New Roman"/>
          <w:sz w:val="20"/>
        </w:rPr>
        <w:t xml:space="preserve">Operating leases were included on the Company’s unaudited Consolidated Balance Sheets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81"/>
        <w:gridCol w:w="475"/>
        <w:gridCol w:w="208"/>
        <w:gridCol w:w="1022"/>
        <w:gridCol w:w="60"/>
        <w:gridCol w:w="475"/>
        <w:gridCol w:w="241"/>
        <w:gridCol w:w="1229"/>
        <w:gridCol w:w="64"/>
      </w:tblGrid>
      <w:tr>
        <w:trPr/>
        <w:tc>
          <w:tcPr>
            <w:tcW w:w="3981" w:type="dxa"/>
            <w:tcBorders/>
            <w:vAlign w:val="center"/>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81"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br/>
              <w:t>(Unaudited)</w:t>
            </w:r>
          </w:p>
        </w:tc>
        <w:tc>
          <w:tcPr>
            <w:tcW w:w="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rPr/>
            </w:pPr>
            <w:r>
              <w:rPr/>
              <w:t> </w:t>
            </w:r>
          </w:p>
        </w:tc>
      </w:tr>
      <w:tr>
        <w:trPr/>
        <w:tc>
          <w:tcPr>
            <w:tcW w:w="39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Leases:</w:t>
            </w:r>
          </w:p>
        </w:tc>
        <w:tc>
          <w:tcPr>
            <w:tcW w:w="47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8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 of use assets, net</w:t>
            </w:r>
          </w:p>
        </w:tc>
        <w:tc>
          <w:tcPr>
            <w:tcW w:w="47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022" w:type="dxa"/>
            <w:tcBorders/>
            <w:vAlign w:val="bottom"/>
          </w:tcPr>
          <w:p>
            <w:pPr>
              <w:pStyle w:val="TableContents"/>
              <w:bidi w:val="0"/>
              <w:spacing w:before="0" w:after="283"/>
              <w:jc w:val="right"/>
              <w:rPr/>
            </w:pPr>
            <w:r>
              <w:rPr/>
              <w:t>93,517</w:t>
            </w:r>
          </w:p>
        </w:tc>
        <w:tc>
          <w:tcPr>
            <w:tcW w:w="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93,586</w:t>
            </w:r>
          </w:p>
        </w:tc>
        <w:tc>
          <w:tcPr>
            <w:tcW w:w="64" w:type="dxa"/>
            <w:tcBorders/>
            <w:vAlign w:val="bottom"/>
          </w:tcPr>
          <w:p>
            <w:pPr>
              <w:pStyle w:val="TableContents"/>
              <w:bidi w:val="0"/>
              <w:spacing w:before="0" w:after="283"/>
              <w:jc w:val="left"/>
              <w:rPr/>
            </w:pPr>
            <w:r>
              <w:rPr/>
              <w:t> </w:t>
            </w:r>
          </w:p>
        </w:tc>
      </w:tr>
      <w:tr>
        <w:trPr/>
        <w:tc>
          <w:tcPr>
            <w:tcW w:w="3981"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obligations</w:t>
            </w:r>
          </w:p>
        </w:tc>
        <w:tc>
          <w:tcPr>
            <w:tcW w:w="47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9,079</w:t>
            </w:r>
          </w:p>
        </w:tc>
        <w:tc>
          <w:tcPr>
            <w:tcW w:w="60"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8,524</w:t>
            </w:r>
          </w:p>
        </w:tc>
        <w:tc>
          <w:tcPr>
            <w:tcW w:w="64" w:type="dxa"/>
            <w:tcBorders/>
            <w:shd w:fill="CCEEFF" w:val="clear"/>
            <w:vAlign w:val="bottom"/>
          </w:tcPr>
          <w:p>
            <w:pPr>
              <w:pStyle w:val="TableContents"/>
              <w:bidi w:val="0"/>
              <w:spacing w:before="0" w:after="283"/>
              <w:jc w:val="left"/>
              <w:rPr/>
            </w:pPr>
            <w:r>
              <w:rPr/>
              <w:t> </w:t>
            </w:r>
          </w:p>
        </w:tc>
      </w:tr>
      <w:tr>
        <w:trPr/>
        <w:tc>
          <w:tcPr>
            <w:tcW w:w="3981"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 obligations</w:t>
            </w:r>
          </w:p>
        </w:tc>
        <w:tc>
          <w:tcPr>
            <w:tcW w:w="47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87,881</w:t>
            </w:r>
          </w:p>
        </w:tc>
        <w:tc>
          <w:tcPr>
            <w:tcW w:w="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88,144</w:t>
            </w:r>
          </w:p>
        </w:tc>
        <w:tc>
          <w:tcPr>
            <w:tcW w:w="64" w:type="dxa"/>
            <w:tcBorders/>
            <w:vAlign w:val="bottom"/>
          </w:tcPr>
          <w:p>
            <w:pPr>
              <w:pStyle w:val="TableContents"/>
              <w:bidi w:val="0"/>
              <w:spacing w:before="0" w:after="283"/>
              <w:jc w:val="left"/>
              <w:rPr/>
            </w:pPr>
            <w:r>
              <w:rPr/>
              <w:t> </w:t>
            </w:r>
          </w:p>
        </w:tc>
      </w:tr>
      <w:tr>
        <w:trPr/>
        <w:tc>
          <w:tcPr>
            <w:tcW w:w="3981"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liability</w:t>
            </w:r>
          </w:p>
        </w:tc>
        <w:tc>
          <w:tcPr>
            <w:tcW w:w="47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96,961</w:t>
            </w:r>
          </w:p>
        </w:tc>
        <w:tc>
          <w:tcPr>
            <w:tcW w:w="60"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96,668</w:t>
            </w:r>
          </w:p>
        </w:tc>
        <w:tc>
          <w:tcPr>
            <w:tcW w:w="64" w:type="dxa"/>
            <w:tcBorders/>
            <w:shd w:fill="CCEEFF" w:val="clear"/>
            <w:vAlign w:val="bottom"/>
          </w:tcPr>
          <w:p>
            <w:pPr>
              <w:pStyle w:val="TableContents"/>
              <w:bidi w:val="0"/>
              <w:spacing w:before="0" w:after="283"/>
              <w:jc w:val="left"/>
              <w:rPr/>
            </w:pPr>
            <w:r>
              <w:rPr/>
              <w:t> </w:t>
            </w:r>
          </w:p>
        </w:tc>
      </w:tr>
      <w:tr>
        <w:trPr/>
        <w:tc>
          <w:tcPr>
            <w:tcW w:w="3981"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components of operating lease expense were as follows (dollars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45"/>
        <w:gridCol w:w="511"/>
        <w:gridCol w:w="216"/>
        <w:gridCol w:w="866"/>
        <w:gridCol w:w="60"/>
        <w:gridCol w:w="511"/>
        <w:gridCol w:w="216"/>
        <w:gridCol w:w="866"/>
        <w:gridCol w:w="64"/>
      </w:tblGrid>
      <w:tr>
        <w:trPr/>
        <w:tc>
          <w:tcPr>
            <w:tcW w:w="4445" w:type="dxa"/>
            <w:tcBorders/>
            <w:vAlign w:val="center"/>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45"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27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w:t>
            </w:r>
          </w:p>
        </w:tc>
        <w:tc>
          <w:tcPr>
            <w:tcW w:w="64" w:type="dxa"/>
            <w:tcBorders/>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0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0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64" w:type="dxa"/>
            <w:tcBorders/>
            <w:vAlign w:val="bottom"/>
          </w:tcPr>
          <w:p>
            <w:pPr>
              <w:pStyle w:val="TableContents"/>
              <w:bidi w:val="0"/>
              <w:spacing w:before="0" w:after="283"/>
              <w:jc w:val="left"/>
              <w:rPr/>
            </w:pPr>
            <w:r>
              <w:rPr/>
              <w:t> </w:t>
            </w:r>
          </w:p>
        </w:tc>
      </w:tr>
      <w:tr>
        <w:trPr/>
        <w:tc>
          <w:tcPr>
            <w:tcW w:w="4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51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5,829</w:t>
            </w:r>
          </w:p>
        </w:tc>
        <w:tc>
          <w:tcPr>
            <w:tcW w:w="60"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4,211</w:t>
            </w:r>
          </w:p>
        </w:tc>
        <w:tc>
          <w:tcPr>
            <w:tcW w:w="64" w:type="dxa"/>
            <w:tcBorders/>
            <w:shd w:fill="CCEEFF" w:val="clear"/>
            <w:vAlign w:val="bottom"/>
          </w:tcPr>
          <w:p>
            <w:pPr>
              <w:pStyle w:val="TableContents"/>
              <w:bidi w:val="0"/>
              <w:spacing w:before="0" w:after="283"/>
              <w:jc w:val="left"/>
              <w:rPr/>
            </w:pPr>
            <w:r>
              <w:rPr/>
              <w:t> </w:t>
            </w:r>
          </w:p>
        </w:tc>
      </w:tr>
      <w:tr>
        <w:trPr/>
        <w:tc>
          <w:tcPr>
            <w:tcW w:w="4445" w:type="dxa"/>
            <w:tcBorders/>
          </w:tcPr>
          <w:p>
            <w:pPr>
              <w:pStyle w:val="TableContents"/>
              <w:bidi w:val="0"/>
              <w:spacing w:before="0" w:after="0"/>
              <w:jc w:val="left"/>
              <w:rPr>
                <w:rFonts w:ascii="Times New Roman" w:hAnsi="Times New Roman"/>
                <w:sz w:val="20"/>
              </w:rPr>
            </w:pPr>
            <w:r>
              <w:rPr>
                <w:rFonts w:ascii="Times New Roman" w:hAnsi="Times New Roman"/>
                <w:sz w:val="20"/>
              </w:rPr>
              <w:t>Short-term lease costs</w:t>
            </w:r>
          </w:p>
        </w:tc>
        <w:tc>
          <w:tcPr>
            <w:tcW w:w="51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640</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504</w:t>
            </w:r>
          </w:p>
        </w:tc>
        <w:tc>
          <w:tcPr>
            <w:tcW w:w="64" w:type="dxa"/>
            <w:tcBorders/>
            <w:vAlign w:val="bottom"/>
          </w:tcPr>
          <w:p>
            <w:pPr>
              <w:pStyle w:val="TableContents"/>
              <w:bidi w:val="0"/>
              <w:spacing w:before="0" w:after="283"/>
              <w:jc w:val="left"/>
              <w:rPr/>
            </w:pPr>
            <w:r>
              <w:rPr/>
              <w:t> </w:t>
            </w:r>
          </w:p>
        </w:tc>
      </w:tr>
      <w:tr>
        <w:trPr/>
        <w:tc>
          <w:tcPr>
            <w:tcW w:w="4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 lease expense</w:t>
            </w:r>
          </w:p>
        </w:tc>
        <w:tc>
          <w:tcPr>
            <w:tcW w:w="51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670</w:t>
            </w:r>
          </w:p>
        </w:tc>
        <w:tc>
          <w:tcPr>
            <w:tcW w:w="60"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507</w:t>
            </w:r>
          </w:p>
        </w:tc>
        <w:tc>
          <w:tcPr>
            <w:tcW w:w="64"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4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lease expense, net</w:t>
            </w:r>
          </w:p>
        </w:tc>
        <w:tc>
          <w:tcPr>
            <w:tcW w:w="51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7,139</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5,222</w:t>
            </w:r>
          </w:p>
        </w:tc>
        <w:tc>
          <w:tcPr>
            <w:tcW w:w="64" w:type="dxa"/>
            <w:tcBorders/>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Supplemental cash flow information related to operating leases for the three months ended March 31, 2026 and 2025 was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77"/>
        <w:gridCol w:w="446"/>
        <w:gridCol w:w="216"/>
        <w:gridCol w:w="915"/>
        <w:gridCol w:w="60"/>
        <w:gridCol w:w="446"/>
        <w:gridCol w:w="191"/>
        <w:gridCol w:w="940"/>
        <w:gridCol w:w="64"/>
      </w:tblGrid>
      <w:tr>
        <w:trPr/>
        <w:tc>
          <w:tcPr>
            <w:tcW w:w="4477" w:type="dxa"/>
            <w:tcBorders/>
            <w:vAlign w:val="center"/>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77"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64" w:type="dxa"/>
            <w:tcBorders/>
            <w:vAlign w:val="bottom"/>
          </w:tcPr>
          <w:p>
            <w:pPr>
              <w:pStyle w:val="TableContents"/>
              <w:bidi w:val="0"/>
              <w:spacing w:before="0" w:after="283"/>
              <w:jc w:val="left"/>
              <w:rPr/>
            </w:pPr>
            <w:r>
              <w:rPr/>
              <w:t> </w:t>
            </w:r>
          </w:p>
        </w:tc>
      </w:tr>
      <w:tr>
        <w:trPr/>
        <w:tc>
          <w:tcPr>
            <w:tcW w:w="4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operating lease liabilities</w:t>
            </w:r>
          </w:p>
        </w:tc>
        <w:tc>
          <w:tcPr>
            <w:tcW w:w="446"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915" w:type="dxa"/>
            <w:tcBorders/>
            <w:shd w:fill="CCEEFF" w:val="clear"/>
            <w:vAlign w:val="bottom"/>
          </w:tcPr>
          <w:p>
            <w:pPr>
              <w:pStyle w:val="TableContents"/>
              <w:bidi w:val="0"/>
              <w:spacing w:before="0" w:after="283"/>
              <w:jc w:val="right"/>
              <w:rPr/>
            </w:pPr>
            <w:r>
              <w:rPr/>
              <w:t>5,223</w:t>
            </w:r>
          </w:p>
        </w:tc>
        <w:tc>
          <w:tcPr>
            <w:tcW w:w="6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3,930</w:t>
            </w:r>
          </w:p>
        </w:tc>
        <w:tc>
          <w:tcPr>
            <w:tcW w:w="64" w:type="dxa"/>
            <w:tcBorders/>
            <w:shd w:fill="CCEEFF" w:val="clear"/>
            <w:vAlign w:val="bottom"/>
          </w:tcPr>
          <w:p>
            <w:pPr>
              <w:pStyle w:val="TableContents"/>
              <w:bidi w:val="0"/>
              <w:spacing w:before="0" w:after="283"/>
              <w:jc w:val="left"/>
              <w:rPr/>
            </w:pPr>
            <w:r>
              <w:rPr/>
              <w:t> </w:t>
            </w:r>
          </w:p>
        </w:tc>
      </w:tr>
      <w:tr>
        <w:trPr/>
        <w:tc>
          <w:tcPr>
            <w:tcW w:w="4477" w:type="dxa"/>
            <w:tcBorders/>
          </w:tcPr>
          <w:p>
            <w:pPr>
              <w:pStyle w:val="TableContents"/>
              <w:bidi w:val="0"/>
              <w:spacing w:before="0" w:after="0"/>
              <w:jc w:val="left"/>
              <w:rPr>
                <w:rFonts w:ascii="Times New Roman" w:hAnsi="Times New Roman"/>
                <w:sz w:val="20"/>
              </w:rPr>
            </w:pPr>
            <w:r>
              <w:rPr>
                <w:rFonts w:ascii="Times New Roman" w:hAnsi="Times New Roman"/>
                <w:sz w:val="20"/>
              </w:rPr>
              <w:t>Right of use assets obtained in exchange for operating lease liabilities</w:t>
            </w:r>
          </w:p>
        </w:tc>
        <w:tc>
          <w:tcPr>
            <w:tcW w:w="446"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915" w:type="dxa"/>
            <w:tcBorders/>
            <w:vAlign w:val="bottom"/>
          </w:tcPr>
          <w:p>
            <w:pPr>
              <w:pStyle w:val="TableContents"/>
              <w:bidi w:val="0"/>
              <w:spacing w:before="0" w:after="283"/>
              <w:jc w:val="right"/>
              <w:rPr/>
            </w:pPr>
            <w:r>
              <w:rPr/>
              <w:t>1,578</w:t>
            </w:r>
          </w:p>
        </w:tc>
        <w:tc>
          <w:tcPr>
            <w:tcW w:w="6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14,334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12 – Stock Compensation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2026 and 2025, the Company recognized stock compensation expense as follows (dollars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51"/>
        <w:gridCol w:w="567"/>
        <w:gridCol w:w="288"/>
        <w:gridCol w:w="785"/>
        <w:gridCol w:w="60"/>
        <w:gridCol w:w="567"/>
        <w:gridCol w:w="288"/>
        <w:gridCol w:w="785"/>
        <w:gridCol w:w="64"/>
      </w:tblGrid>
      <w:tr>
        <w:trPr/>
        <w:tc>
          <w:tcPr>
            <w:tcW w:w="4351" w:type="dxa"/>
            <w:tcBorders/>
            <w:vAlign w:val="center"/>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5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left"/>
              <w:rPr/>
            </w:pPr>
            <w:r>
              <w:rPr/>
              <w:t>  </w:t>
            </w:r>
          </w:p>
        </w:tc>
        <w:tc>
          <w:tcPr>
            <w:tcW w:w="27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w:t>
            </w:r>
          </w:p>
        </w:tc>
        <w:tc>
          <w:tcPr>
            <w:tcW w:w="64" w:type="dxa"/>
            <w:tcBorders/>
            <w:vAlign w:val="bottom"/>
          </w:tcPr>
          <w:p>
            <w:pPr>
              <w:pStyle w:val="TableContents"/>
              <w:bidi w:val="0"/>
              <w:spacing w:before="0" w:after="283"/>
              <w:jc w:val="left"/>
              <w:rPr/>
            </w:pPr>
            <w:r>
              <w:rPr/>
              <w:t> </w:t>
            </w:r>
          </w:p>
        </w:tc>
      </w:tr>
      <w:tr>
        <w:trPr/>
        <w:tc>
          <w:tcPr>
            <w:tcW w:w="435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64" w:type="dxa"/>
            <w:tcBorders/>
            <w:vAlign w:val="bottom"/>
          </w:tcPr>
          <w:p>
            <w:pPr>
              <w:pStyle w:val="TableContents"/>
              <w:bidi w:val="0"/>
              <w:spacing w:before="0" w:after="283"/>
              <w:jc w:val="left"/>
              <w:rPr/>
            </w:pPr>
            <w:r>
              <w:rPr/>
              <w:t> </w:t>
            </w:r>
          </w:p>
        </w:tc>
      </w:tr>
      <w:tr>
        <w:trPr/>
        <w:tc>
          <w:tcPr>
            <w:tcW w:w="43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Teamshares Inc. awards</w:t>
            </w:r>
          </w:p>
        </w:tc>
        <w:tc>
          <w:tcPr>
            <w:tcW w:w="56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627</w:t>
            </w:r>
          </w:p>
        </w:tc>
        <w:tc>
          <w:tcPr>
            <w:tcW w:w="6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611</w:t>
            </w:r>
          </w:p>
        </w:tc>
        <w:tc>
          <w:tcPr>
            <w:tcW w:w="64" w:type="dxa"/>
            <w:tcBorders/>
            <w:shd w:fill="CCEEFF" w:val="clear"/>
            <w:vAlign w:val="bottom"/>
          </w:tcPr>
          <w:p>
            <w:pPr>
              <w:pStyle w:val="TableContents"/>
              <w:bidi w:val="0"/>
              <w:spacing w:before="0" w:after="283"/>
              <w:jc w:val="left"/>
              <w:rPr/>
            </w:pPr>
            <w:r>
              <w:rPr/>
              <w:t> </w:t>
            </w:r>
          </w:p>
        </w:tc>
      </w:tr>
      <w:tr>
        <w:trPr/>
        <w:tc>
          <w:tcPr>
            <w:tcW w:w="4351" w:type="dxa"/>
            <w:tcBorders/>
          </w:tcPr>
          <w:p>
            <w:pPr>
              <w:pStyle w:val="TableContents"/>
              <w:bidi w:val="0"/>
              <w:spacing w:before="0" w:after="0"/>
              <w:jc w:val="left"/>
              <w:rPr>
                <w:rFonts w:ascii="Times New Roman" w:hAnsi="Times New Roman"/>
                <w:sz w:val="20"/>
              </w:rPr>
            </w:pPr>
            <w:r>
              <w:rPr>
                <w:rFonts w:ascii="Times New Roman" w:hAnsi="Times New Roman"/>
                <w:sz w:val="20"/>
              </w:rPr>
              <w:t>Operating Subsidiary Stock Plans</w:t>
            </w:r>
          </w:p>
        </w:tc>
        <w:tc>
          <w:tcPr>
            <w:tcW w:w="567"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310</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375</w:t>
            </w:r>
          </w:p>
        </w:tc>
        <w:tc>
          <w:tcPr>
            <w:tcW w:w="64" w:type="dxa"/>
            <w:tcBorders/>
            <w:vAlign w:val="bottom"/>
          </w:tcPr>
          <w:p>
            <w:pPr>
              <w:pStyle w:val="TableContents"/>
              <w:bidi w:val="0"/>
              <w:spacing w:before="0" w:after="283"/>
              <w:jc w:val="left"/>
              <w:rPr/>
            </w:pPr>
            <w:r>
              <w:rPr/>
              <w:t> </w:t>
            </w:r>
          </w:p>
        </w:tc>
      </w:tr>
      <w:tr>
        <w:trPr/>
        <w:tc>
          <w:tcPr>
            <w:tcW w:w="4351"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7"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3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 compensation expense</w:t>
            </w:r>
          </w:p>
        </w:tc>
        <w:tc>
          <w:tcPr>
            <w:tcW w:w="56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936</w:t>
            </w:r>
          </w:p>
        </w:tc>
        <w:tc>
          <w:tcPr>
            <w:tcW w:w="6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986</w:t>
            </w:r>
          </w:p>
        </w:tc>
        <w:tc>
          <w:tcPr>
            <w:tcW w:w="64" w:type="dxa"/>
            <w:tcBorders/>
            <w:shd w:fill="CCEEFF" w:val="clear"/>
            <w:vAlign w:val="bottom"/>
          </w:tcPr>
          <w:p>
            <w:pPr>
              <w:pStyle w:val="TableContents"/>
              <w:bidi w:val="0"/>
              <w:spacing w:before="0" w:after="283"/>
              <w:jc w:val="left"/>
              <w:rPr/>
            </w:pPr>
            <w:r>
              <w:rPr/>
              <w:t> </w:t>
            </w:r>
          </w:p>
        </w:tc>
      </w:tr>
      <w:tr>
        <w:trPr/>
        <w:tc>
          <w:tcPr>
            <w:tcW w:w="4351"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7"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13 – 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is computed by dividing Net Loss Attributable to Common Stockholders by the weighted average number of common shares outstanding during the period. Each series of preferred stock is considered to be a participating security. Therefore, the Company applies the two-class method in calculating its net loss per share for periods when the Company generates net income. Net losses are not allocated to preferred shares in the Company, as they are not contractually obligated to share in the Company’s losses. </w:t>
      </w:r>
    </w:p>
    <w:p>
      <w:pPr>
        <w:pStyle w:val="TextBody"/>
        <w:bidi w:val="0"/>
        <w:spacing w:before="240" w:after="0"/>
        <w:jc w:val="left"/>
        <w:rPr>
          <w:rFonts w:ascii="Times New Roman" w:hAnsi="Times New Roman"/>
          <w:sz w:val="20"/>
        </w:rPr>
      </w:pPr>
      <w:r>
        <w:rPr>
          <w:rFonts w:ascii="Times New Roman" w:hAnsi="Times New Roman"/>
          <w:sz w:val="20"/>
        </w:rPr>
        <w:t xml:space="preserve">Diluted Net Loss Per Share is computed by dividing Net Loss Attributable to Common Stockholders by the weighted average number of common and dilutive common equivalent shares outstanding for the period using the treasury-stock method or the as-converted method, or the two-class method for participating securities, whichever is more dilutive. Potentially dilutive shares are comprised of preferred stock, warrants, and stock options. For the three months ended March 31, 2026 and 2025, there is no difference in the number of shares used to calculate basic and diluted shares outstanding due to the Company’s net loss and potentially dilutive shares being anti-dilutive.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2026 and 2025, the Company repurchased certain Rollover Shares. The difference between the carrying value and the repurchase value on the repurchase date has been included as an adjustment to Net Loss Attributable to Common Stockholders.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the numerator and denominator used in the calculation of basic and diluted net loss per share for the three months ended March 31, 2026 and 2025 is as follows </w:t>
      </w:r>
      <w:r>
        <w:rPr>
          <w:rFonts w:ascii="Times New Roman" w:hAnsi="Times New Roman"/>
          <w:i/>
          <w:sz w:val="20"/>
        </w:rPr>
        <w:t>(dollars in thousands, except per share data):</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03"/>
        <w:gridCol w:w="496"/>
        <w:gridCol w:w="140"/>
        <w:gridCol w:w="980"/>
        <w:gridCol w:w="157"/>
        <w:gridCol w:w="496"/>
        <w:gridCol w:w="140"/>
        <w:gridCol w:w="980"/>
        <w:gridCol w:w="163"/>
      </w:tblGrid>
      <w:tr>
        <w:trPr/>
        <w:tc>
          <w:tcPr>
            <w:tcW w:w="4203" w:type="dxa"/>
            <w:tcBorders/>
            <w:vAlign w:val="center"/>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03"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7"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2025</w:t>
            </w:r>
          </w:p>
        </w:tc>
        <w:tc>
          <w:tcPr>
            <w:tcW w:w="163" w:type="dxa"/>
            <w:tcBorders/>
            <w:vAlign w:val="bottom"/>
          </w:tcPr>
          <w:p>
            <w:pPr>
              <w:pStyle w:val="TableContents"/>
              <w:bidi w:val="0"/>
              <w:spacing w:before="0" w:after="283"/>
              <w:jc w:val="left"/>
              <w:rPr/>
            </w:pPr>
            <w:r>
              <w:rPr/>
              <w:t> </w:t>
            </w:r>
          </w:p>
        </w:tc>
      </w:tr>
      <w:tr>
        <w:trPr/>
        <w:tc>
          <w:tcPr>
            <w:tcW w:w="42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4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203"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Teamshares Inc.</w:t>
            </w:r>
          </w:p>
        </w:tc>
        <w:tc>
          <w:tcPr>
            <w:tcW w:w="4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(22,877</w:t>
            </w:r>
          </w:p>
        </w:tc>
        <w:tc>
          <w:tcPr>
            <w:tcW w:w="157"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(21,330</w:t>
            </w:r>
          </w:p>
        </w:tc>
        <w:tc>
          <w:tcPr>
            <w:tcW w:w="163" w:type="dxa"/>
            <w:tcBorders/>
            <w:vAlign w:val="bottom"/>
          </w:tcPr>
          <w:p>
            <w:pPr>
              <w:pStyle w:val="TableContents"/>
              <w:bidi w:val="0"/>
              <w:spacing w:before="0" w:after="283"/>
              <w:jc w:val="left"/>
              <w:rPr/>
            </w:pPr>
            <w:r>
              <w:rPr/>
              <w:t>) </w:t>
            </w:r>
          </w:p>
        </w:tc>
      </w:tr>
      <w:tr>
        <w:trPr/>
        <w:tc>
          <w:tcPr>
            <w:tcW w:w="4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Rollover Share adjustments</w:t>
            </w:r>
          </w:p>
        </w:tc>
        <w:tc>
          <w:tcPr>
            <w:tcW w:w="4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64</w:t>
            </w:r>
          </w:p>
        </w:tc>
        <w:tc>
          <w:tcPr>
            <w:tcW w:w="157"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65</w:t>
            </w:r>
          </w:p>
        </w:tc>
        <w:tc>
          <w:tcPr>
            <w:tcW w:w="163" w:type="dxa"/>
            <w:tcBorders/>
            <w:shd w:fill="CCEEFF" w:val="clear"/>
            <w:vAlign w:val="bottom"/>
          </w:tcPr>
          <w:p>
            <w:pPr>
              <w:pStyle w:val="TableContents"/>
              <w:bidi w:val="0"/>
              <w:spacing w:before="0" w:after="283"/>
              <w:jc w:val="left"/>
              <w:rPr/>
            </w:pPr>
            <w:r>
              <w:rPr/>
              <w:t> </w:t>
            </w:r>
          </w:p>
        </w:tc>
      </w:tr>
      <w:tr>
        <w:trPr/>
        <w:tc>
          <w:tcPr>
            <w:tcW w:w="4203"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03"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4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(22,813</w:t>
            </w:r>
          </w:p>
        </w:tc>
        <w:tc>
          <w:tcPr>
            <w:tcW w:w="157"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(21,265</w:t>
            </w:r>
          </w:p>
        </w:tc>
        <w:tc>
          <w:tcPr>
            <w:tcW w:w="163" w:type="dxa"/>
            <w:tcBorders/>
            <w:vAlign w:val="bottom"/>
          </w:tcPr>
          <w:p>
            <w:pPr>
              <w:pStyle w:val="TableContents"/>
              <w:bidi w:val="0"/>
              <w:spacing w:before="0" w:after="283"/>
              <w:jc w:val="left"/>
              <w:rPr/>
            </w:pPr>
            <w:r>
              <w:rPr/>
              <w:t>) </w:t>
            </w:r>
          </w:p>
        </w:tc>
      </w:tr>
      <w:tr>
        <w:trPr/>
        <w:tc>
          <w:tcPr>
            <w:tcW w:w="42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4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203"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w:t>
            </w:r>
          </w:p>
        </w:tc>
        <w:tc>
          <w:tcPr>
            <w:tcW w:w="4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1,174,429</w:t>
            </w:r>
          </w:p>
        </w:tc>
        <w:tc>
          <w:tcPr>
            <w:tcW w:w="157"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1,162,187</w:t>
            </w:r>
          </w:p>
        </w:tc>
        <w:tc>
          <w:tcPr>
            <w:tcW w:w="163" w:type="dxa"/>
            <w:tcBorders/>
            <w:vAlign w:val="bottom"/>
          </w:tcPr>
          <w:p>
            <w:pPr>
              <w:pStyle w:val="TableContents"/>
              <w:bidi w:val="0"/>
              <w:spacing w:before="0" w:after="283"/>
              <w:jc w:val="left"/>
              <w:rPr/>
            </w:pPr>
            <w:r>
              <w:rPr/>
              <w:t> </w:t>
            </w:r>
          </w:p>
        </w:tc>
      </w:tr>
      <w:tr>
        <w:trPr/>
        <w:tc>
          <w:tcPr>
            <w:tcW w:w="4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4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(19.42</w:t>
            </w:r>
          </w:p>
        </w:tc>
        <w:tc>
          <w:tcPr>
            <w:tcW w:w="157"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(18.30</w:t>
            </w:r>
          </w:p>
        </w:tc>
        <w:tc>
          <w:tcPr>
            <w:tcW w:w="1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common stock equivalents were excluded in the calculation of net loss per diluted share because their effect was anti-dilutive: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04"/>
        <w:gridCol w:w="242"/>
        <w:gridCol w:w="61"/>
        <w:gridCol w:w="1011"/>
        <w:gridCol w:w="60"/>
        <w:gridCol w:w="242"/>
        <w:gridCol w:w="61"/>
        <w:gridCol w:w="1011"/>
        <w:gridCol w:w="63"/>
      </w:tblGrid>
      <w:tr>
        <w:trPr/>
        <w:tc>
          <w:tcPr>
            <w:tcW w:w="5004"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04"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2025</w:t>
            </w:r>
          </w:p>
        </w:tc>
        <w:tc>
          <w:tcPr>
            <w:tcW w:w="63" w:type="dxa"/>
            <w:tcBorders/>
            <w:vAlign w:val="bottom"/>
          </w:tcPr>
          <w:p>
            <w:pPr>
              <w:pStyle w:val="TableContents"/>
              <w:bidi w:val="0"/>
              <w:spacing w:before="0" w:after="283"/>
              <w:jc w:val="left"/>
              <w:rPr/>
            </w:pPr>
            <w:r>
              <w:rPr/>
              <w:t> </w:t>
            </w:r>
          </w:p>
        </w:tc>
      </w:tr>
      <w:tr>
        <w:trPr/>
        <w:tc>
          <w:tcPr>
            <w:tcW w:w="50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Shares</w:t>
            </w:r>
          </w:p>
        </w:tc>
        <w:tc>
          <w:tcPr>
            <w:tcW w:w="24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7,758,235</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7,753,609</w:t>
            </w:r>
          </w:p>
        </w:tc>
        <w:tc>
          <w:tcPr>
            <w:tcW w:w="63" w:type="dxa"/>
            <w:tcBorders/>
            <w:shd w:fill="CCEEFF" w:val="clear"/>
            <w:vAlign w:val="bottom"/>
          </w:tcPr>
          <w:p>
            <w:pPr>
              <w:pStyle w:val="TableContents"/>
              <w:bidi w:val="0"/>
              <w:spacing w:before="0" w:after="283"/>
              <w:jc w:val="left"/>
              <w:rPr/>
            </w:pPr>
            <w:r>
              <w:rPr/>
              <w:t> </w:t>
            </w:r>
          </w:p>
        </w:tc>
      </w:tr>
      <w:tr>
        <w:trPr/>
        <w:tc>
          <w:tcPr>
            <w:tcW w:w="5004"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4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218,340</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202,782</w:t>
            </w:r>
          </w:p>
        </w:tc>
        <w:tc>
          <w:tcPr>
            <w:tcW w:w="63" w:type="dxa"/>
            <w:tcBorders/>
            <w:vAlign w:val="bottom"/>
          </w:tcPr>
          <w:p>
            <w:pPr>
              <w:pStyle w:val="TableContents"/>
              <w:bidi w:val="0"/>
              <w:spacing w:before="0" w:after="283"/>
              <w:jc w:val="left"/>
              <w:rPr/>
            </w:pPr>
            <w:r>
              <w:rPr/>
              <w:t> </w:t>
            </w:r>
          </w:p>
        </w:tc>
      </w:tr>
      <w:tr>
        <w:trPr/>
        <w:tc>
          <w:tcPr>
            <w:tcW w:w="50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24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1,441,123</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1,228,890</w:t>
            </w:r>
          </w:p>
        </w:tc>
        <w:tc>
          <w:tcPr>
            <w:tcW w:w="63" w:type="dxa"/>
            <w:tcBorders/>
            <w:shd w:fill="CCEEFF" w:val="clear"/>
            <w:vAlign w:val="bottom"/>
          </w:tcPr>
          <w:p>
            <w:pPr>
              <w:pStyle w:val="TableContents"/>
              <w:bidi w:val="0"/>
              <w:spacing w:before="0" w:after="283"/>
              <w:jc w:val="left"/>
              <w:rPr/>
            </w:pPr>
            <w:r>
              <w:rPr/>
              <w:t> </w:t>
            </w:r>
          </w:p>
        </w:tc>
      </w:tr>
      <w:tr>
        <w:trPr/>
        <w:tc>
          <w:tcPr>
            <w:tcW w:w="5004"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00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9,417,698</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9,185,281</w:t>
            </w:r>
          </w:p>
        </w:tc>
        <w:tc>
          <w:tcPr>
            <w:tcW w:w="63" w:type="dxa"/>
            <w:tcBorders/>
            <w:vAlign w:val="bottom"/>
          </w:tcPr>
          <w:p>
            <w:pPr>
              <w:pStyle w:val="TableContents"/>
              <w:bidi w:val="0"/>
              <w:spacing w:before="0" w:after="283"/>
              <w:jc w:val="left"/>
              <w:rPr/>
            </w:pPr>
            <w:r>
              <w:rPr/>
              <w:t> </w:t>
            </w:r>
          </w:p>
        </w:tc>
      </w:tr>
      <w:tr>
        <w:trPr/>
        <w:tc>
          <w:tcPr>
            <w:tcW w:w="5004"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14 – Segment Reporting and Geographic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two reportable segments: Small Business Acquisitions and Real Estate. The chief operating decision maker (“CODM”) is the Company’s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Small Business Acquisitions includes all of the Operating Subsidiaries owned by the Company. The Company’s CODM regularly reviews Operating Subsidiary performance in the aggregate for the purpose of making operating decisions, allocating resources, and evaluating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Real Estate includes land and buildings that are owned by the Company. These assets are owned by the Company and leased to Operating Subsidiaries on an intercompany basis. Rent payments that are paid to the Company are eliminated in consolidation. The CODM regularly reviews the profitability of the Real Estate operating segment. The Company sold substantially all of its Real Estate segment during the year ended December 31, 2025 in connection with the Sale Leaseback. See NOTE 2 of the audited consolidated financial statements of the Company for the fiscal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CODM also regularly reviews the performance of other products and services that the Company offers to Operating Subsidiaries. These products primarily consist of the Company’s self-funded health insurance and business insurance programs that certain Operating Subsidiaries utilize. The insurance premiums that are paid to the Company by Operating Subsidiaries are eliminated in consolidation. None of the financial products that are regularly reviewed by the CODM meet the quantitative criteria to be disclosed as a reportable segment. </w:t>
      </w:r>
    </w:p>
    <w:p>
      <w:pPr>
        <w:pStyle w:val="TextBody"/>
        <w:bidi w:val="0"/>
        <w:spacing w:before="240" w:after="0"/>
        <w:jc w:val="left"/>
        <w:rPr>
          <w:rFonts w:ascii="Times New Roman" w:hAnsi="Times New Roman"/>
          <w:sz w:val="20"/>
        </w:rPr>
      </w:pPr>
      <w:r>
        <w:rPr>
          <w:rFonts w:ascii="Times New Roman" w:hAnsi="Times New Roman"/>
          <w:sz w:val="20"/>
        </w:rPr>
        <w:t xml:space="preserve">The CODM measures and evaluates segment performance and allocates resources based on segment earnings before interest, taxes, depreciation, and amortization (“EBITDA”). Segment EBITDA includes revenues from external customers and revenues and associated expenses from transactions with other operating segments of the Company. Segment expense categories include Cost of Revenue (excluding depreciation), Selling, General, and Administrative Expenses, and other non-operating (income)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CODM is not regularly provided with segment assets or segment expenditures for long-lived assets, as these metrics are not used to assess segment performance. The accounting policies of the Small Business Acquisitions reportable segment are the same as those described in NOTE 2 of the audited consolidated financial statements of the Company for the fiscal year ended December 31,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490"/>
        <w:gridCol w:w="338"/>
        <w:gridCol w:w="211"/>
        <w:gridCol w:w="1222"/>
        <w:gridCol w:w="230"/>
        <w:gridCol w:w="382"/>
        <w:gridCol w:w="86"/>
        <w:gridCol w:w="547"/>
        <w:gridCol w:w="86"/>
        <w:gridCol w:w="382"/>
        <w:gridCol w:w="211"/>
        <w:gridCol w:w="1226"/>
        <w:gridCol w:w="161"/>
      </w:tblGrid>
      <w:tr>
        <w:trPr/>
        <w:tc>
          <w:tcPr>
            <w:tcW w:w="3490"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9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4583" w:type="dxa"/>
            <w:gridSpan w:val="10"/>
            <w:tcBorders>
              <w:bottom w:val="single" w:sz="8" w:space="0" w:color="000000"/>
            </w:tcBorders>
            <w:tcMar>
              <w:bottom w:w="28" w:type="dxa"/>
            </w:tcMar>
            <w:vAlign w:val="bottom"/>
          </w:tcPr>
          <w:p>
            <w:pPr>
              <w:pStyle w:val="TableContents"/>
              <w:bidi w:val="0"/>
              <w:spacing w:before="0" w:after="283"/>
              <w:jc w:val="center"/>
              <w:rPr/>
            </w:pPr>
            <w:r>
              <w:rPr>
                <w:b/>
              </w:rPr>
              <w:t>Three Months Ended March 31, 2026 (</w:t>
            </w:r>
            <w:r>
              <w:rPr>
                <w:i/>
              </w:rPr>
              <w:t>in 000s</w:t>
            </w:r>
            <w:r>
              <w:rPr>
                <w:b/>
              </w:rPr>
              <w:t>)</w:t>
            </w:r>
          </w:p>
        </w:tc>
        <w:tc>
          <w:tcPr>
            <w:tcW w:w="161" w:type="dxa"/>
            <w:tcBorders/>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bottom"/>
          </w:tcPr>
          <w:p>
            <w:pPr>
              <w:pStyle w:val="TableContents"/>
              <w:bidi w:val="0"/>
              <w:spacing w:before="0" w:after="283"/>
              <w:jc w:val="center"/>
              <w:rPr/>
            </w:pPr>
            <w:r>
              <w:rPr/>
              <w:t>Small Business</w:t>
              <w:br/>
              <w:t>Acquisitions</w:t>
            </w:r>
          </w:p>
        </w:tc>
        <w:tc>
          <w:tcPr>
            <w:tcW w:w="23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pPr>
            <w:r>
              <w:rPr/>
              <w:t>Real</w:t>
              <w:br/>
              <w:t>Estate</w:t>
            </w:r>
          </w:p>
        </w:tc>
        <w:tc>
          <w:tcPr>
            <w:tcW w:w="8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pPr>
            <w:r>
              <w:rPr/>
              <w:t>Total</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External Customers</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121,039</w:t>
            </w:r>
          </w:p>
        </w:tc>
        <w:tc>
          <w:tcPr>
            <w:tcW w:w="23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— </w:t>
            </w:r>
          </w:p>
        </w:tc>
        <w:tc>
          <w:tcPr>
            <w:tcW w:w="8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121,039</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Other Operating Segments</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56</w:t>
            </w:r>
          </w:p>
        </w:tc>
        <w:tc>
          <w:tcPr>
            <w:tcW w:w="8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56</w:t>
            </w:r>
          </w:p>
        </w:tc>
        <w:tc>
          <w:tcPr>
            <w:tcW w:w="161" w:type="dxa"/>
            <w:tcBorders/>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23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7" w:type="dxa"/>
            <w:tcBorders/>
            <w:vAlign w:val="bottom"/>
          </w:tcPr>
          <w:p>
            <w:pPr>
              <w:pStyle w:val="TableContents"/>
              <w:pBdr>
                <w:top w:val="single" w:sz="2"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Segment Revenue</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121,039</w:t>
            </w:r>
          </w:p>
        </w:tc>
        <w:tc>
          <w:tcPr>
            <w:tcW w:w="23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56</w:t>
            </w:r>
          </w:p>
        </w:tc>
        <w:tc>
          <w:tcPr>
            <w:tcW w:w="8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121,096</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23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7" w:type="dxa"/>
            <w:tcBorders/>
            <w:vAlign w:val="bottom"/>
          </w:tcPr>
          <w:p>
            <w:pPr>
              <w:pStyle w:val="TableContents"/>
              <w:pBdr>
                <w:top w:val="single" w:sz="2"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i/>
                <w:sz w:val="20"/>
              </w:rPr>
            </w:pPr>
            <w:r>
              <w:rPr>
                <w:rFonts w:ascii="Times New Roman" w:hAnsi="Times New Roman"/>
                <w:i/>
                <w:sz w:val="20"/>
              </w:rPr>
              <w:t>Reconciliation of Revenues</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Intercompany Eliminations</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(56</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Total Consolidated Revenue</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121,039</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 Excluding Depreciation</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73,190</w:t>
            </w:r>
          </w:p>
        </w:tc>
        <w:tc>
          <w:tcPr>
            <w:tcW w:w="23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73,190</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38,933</w:t>
            </w:r>
          </w:p>
        </w:tc>
        <w:tc>
          <w:tcPr>
            <w:tcW w:w="23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— </w:t>
            </w:r>
          </w:p>
        </w:tc>
        <w:tc>
          <w:tcPr>
            <w:tcW w:w="8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38,933</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Income</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(213</w:t>
            </w:r>
          </w:p>
        </w:tc>
        <w:tc>
          <w:tcPr>
            <w:tcW w:w="23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(213</w:t>
            </w:r>
          </w:p>
        </w:tc>
        <w:tc>
          <w:tcPr>
            <w:tcW w:w="161" w:type="dxa"/>
            <w:tcBorders/>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23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7" w:type="dxa"/>
            <w:tcBorders/>
            <w:vAlign w:val="bottom"/>
          </w:tcPr>
          <w:p>
            <w:pPr>
              <w:pStyle w:val="TableContents"/>
              <w:pBdr>
                <w:top w:val="single" w:sz="2"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Segment EBITDA</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9,129</w:t>
            </w:r>
          </w:p>
        </w:tc>
        <w:tc>
          <w:tcPr>
            <w:tcW w:w="23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56</w:t>
            </w:r>
          </w:p>
        </w:tc>
        <w:tc>
          <w:tcPr>
            <w:tcW w:w="8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9,185</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(1,144</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(1,704</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(936</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Gain on Disposition of Assets</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203</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(15,364</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41</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All Other Operating Segments</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(200</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Other Expenses, and Eliminations</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(12,503</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(22,418</w:t>
            </w:r>
          </w:p>
        </w:tc>
        <w:tc>
          <w:tcPr>
            <w:tcW w:w="161" w:type="dxa"/>
            <w:tcBorders/>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490"/>
        <w:gridCol w:w="338"/>
        <w:gridCol w:w="211"/>
        <w:gridCol w:w="1222"/>
        <w:gridCol w:w="230"/>
        <w:gridCol w:w="382"/>
        <w:gridCol w:w="86"/>
        <w:gridCol w:w="547"/>
        <w:gridCol w:w="86"/>
        <w:gridCol w:w="382"/>
        <w:gridCol w:w="211"/>
        <w:gridCol w:w="1226"/>
        <w:gridCol w:w="161"/>
      </w:tblGrid>
      <w:tr>
        <w:trPr/>
        <w:tc>
          <w:tcPr>
            <w:tcW w:w="3490"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9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4583" w:type="dxa"/>
            <w:gridSpan w:val="10"/>
            <w:tcBorders>
              <w:bottom w:val="single" w:sz="8" w:space="0" w:color="000000"/>
            </w:tcBorders>
            <w:tcMar>
              <w:bottom w:w="28" w:type="dxa"/>
            </w:tcMar>
            <w:vAlign w:val="bottom"/>
          </w:tcPr>
          <w:p>
            <w:pPr>
              <w:pStyle w:val="TableContents"/>
              <w:bidi w:val="0"/>
              <w:spacing w:before="0" w:after="283"/>
              <w:jc w:val="center"/>
              <w:rPr/>
            </w:pPr>
            <w:r>
              <w:rPr>
                <w:b/>
              </w:rPr>
              <w:t>Three Months Ended March 31, 2025 (</w:t>
            </w:r>
            <w:r>
              <w:rPr>
                <w:i/>
              </w:rPr>
              <w:t>in 000s</w:t>
            </w:r>
            <w:r>
              <w:rPr>
                <w:b/>
              </w:rPr>
              <w:t>)</w:t>
            </w:r>
          </w:p>
        </w:tc>
        <w:tc>
          <w:tcPr>
            <w:tcW w:w="161" w:type="dxa"/>
            <w:tcBorders/>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bottom"/>
          </w:tcPr>
          <w:p>
            <w:pPr>
              <w:pStyle w:val="TableContents"/>
              <w:bidi w:val="0"/>
              <w:spacing w:before="0" w:after="283"/>
              <w:jc w:val="center"/>
              <w:rPr/>
            </w:pPr>
            <w:r>
              <w:rPr/>
              <w:t>Small Business</w:t>
              <w:br/>
              <w:t>Acquisitions</w:t>
            </w:r>
          </w:p>
        </w:tc>
        <w:tc>
          <w:tcPr>
            <w:tcW w:w="23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pPr>
            <w:r>
              <w:rPr/>
              <w:t>Real</w:t>
              <w:br/>
              <w:t>Estate</w:t>
            </w:r>
          </w:p>
        </w:tc>
        <w:tc>
          <w:tcPr>
            <w:tcW w:w="8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pPr>
            <w:r>
              <w:rPr/>
              <w:t>Total</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External Customers</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102,543</w:t>
            </w:r>
          </w:p>
        </w:tc>
        <w:tc>
          <w:tcPr>
            <w:tcW w:w="23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— </w:t>
            </w:r>
          </w:p>
        </w:tc>
        <w:tc>
          <w:tcPr>
            <w:tcW w:w="8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102,543</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Other Operating Segments</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722</w:t>
            </w:r>
          </w:p>
        </w:tc>
        <w:tc>
          <w:tcPr>
            <w:tcW w:w="8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722</w:t>
            </w:r>
          </w:p>
        </w:tc>
        <w:tc>
          <w:tcPr>
            <w:tcW w:w="161" w:type="dxa"/>
            <w:tcBorders/>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23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7" w:type="dxa"/>
            <w:tcBorders/>
            <w:vAlign w:val="bottom"/>
          </w:tcPr>
          <w:p>
            <w:pPr>
              <w:pStyle w:val="TableContents"/>
              <w:pBdr>
                <w:top w:val="single" w:sz="2"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Segment Revenue</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102,543</w:t>
            </w:r>
          </w:p>
        </w:tc>
        <w:tc>
          <w:tcPr>
            <w:tcW w:w="23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722</w:t>
            </w:r>
          </w:p>
        </w:tc>
        <w:tc>
          <w:tcPr>
            <w:tcW w:w="8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103,265</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23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7" w:type="dxa"/>
            <w:tcBorders/>
            <w:vAlign w:val="bottom"/>
          </w:tcPr>
          <w:p>
            <w:pPr>
              <w:pStyle w:val="TableContents"/>
              <w:pBdr>
                <w:top w:val="single" w:sz="2"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i/>
                <w:sz w:val="20"/>
              </w:rPr>
            </w:pPr>
            <w:r>
              <w:rPr>
                <w:rFonts w:ascii="Times New Roman" w:hAnsi="Times New Roman"/>
                <w:i/>
                <w:sz w:val="20"/>
              </w:rPr>
              <w:t>Reconciliation of Revenues</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Intercompany Eliminations</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(722</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Total Consolidated Revenue</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102,543</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 Excluding Depreciation</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63,455</w:t>
            </w:r>
          </w:p>
        </w:tc>
        <w:tc>
          <w:tcPr>
            <w:tcW w:w="23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63,455</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34,057</w:t>
            </w:r>
          </w:p>
        </w:tc>
        <w:tc>
          <w:tcPr>
            <w:tcW w:w="23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4</w:t>
            </w:r>
          </w:p>
        </w:tc>
        <w:tc>
          <w:tcPr>
            <w:tcW w:w="8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34,062</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Income</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(301</w:t>
            </w:r>
          </w:p>
        </w:tc>
        <w:tc>
          <w:tcPr>
            <w:tcW w:w="23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(301</w:t>
            </w:r>
          </w:p>
        </w:tc>
        <w:tc>
          <w:tcPr>
            <w:tcW w:w="161" w:type="dxa"/>
            <w:tcBorders/>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23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7" w:type="dxa"/>
            <w:tcBorders/>
            <w:vAlign w:val="bottom"/>
          </w:tcPr>
          <w:p>
            <w:pPr>
              <w:pStyle w:val="TableContents"/>
              <w:pBdr>
                <w:top w:val="single" w:sz="2"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Segment EBITDA</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5,332</w:t>
            </w:r>
          </w:p>
        </w:tc>
        <w:tc>
          <w:tcPr>
            <w:tcW w:w="23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717</w:t>
            </w:r>
          </w:p>
        </w:tc>
        <w:tc>
          <w:tcPr>
            <w:tcW w:w="8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6,050</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(1,418</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(1,413</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(2,980</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(986</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Disposition of Assets</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(435</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(7,304</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324</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177</w:t>
            </w:r>
          </w:p>
        </w:tc>
        <w:tc>
          <w:tcPr>
            <w:tcW w:w="161" w:type="dxa"/>
            <w:tcBorders/>
            <w:vAlign w:val="bottom"/>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Other Operating Segments</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(116</w:t>
            </w:r>
          </w:p>
        </w:tc>
        <w:tc>
          <w:tcPr>
            <w:tcW w:w="161" w:type="dxa"/>
            <w:tcBorders/>
            <w:shd w:fill="CCEEFF" w:val="clear"/>
            <w:vAlign w:val="bottom"/>
          </w:tcPr>
          <w:p>
            <w:pPr>
              <w:pStyle w:val="TableContents"/>
              <w:bidi w:val="0"/>
              <w:spacing w:before="0" w:after="283"/>
              <w:jc w:val="left"/>
              <w:rPr/>
            </w:pPr>
            <w:r>
              <w:rPr/>
              <w:t>) </w:t>
            </w:r>
          </w:p>
        </w:tc>
      </w:tr>
      <w:tr>
        <w:trPr/>
        <w:tc>
          <w:tcPr>
            <w:tcW w:w="3490" w:type="dxa"/>
            <w:tcBorders/>
          </w:tcPr>
          <w:p>
            <w:pPr>
              <w:pStyle w:val="TableContents"/>
              <w:bidi w:val="0"/>
              <w:spacing w:before="0" w:after="0"/>
              <w:jc w:val="left"/>
              <w:rPr>
                <w:rFonts w:ascii="Times New Roman" w:hAnsi="Times New Roman"/>
                <w:sz w:val="20"/>
              </w:rPr>
            </w:pPr>
            <w:r>
              <w:rPr>
                <w:rFonts w:ascii="Times New Roman" w:hAnsi="Times New Roman"/>
                <w:sz w:val="20"/>
              </w:rPr>
              <w:t>Corporate, Other Expenses, and Eliminations</w:t>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(13,106</w:t>
            </w:r>
          </w:p>
        </w:tc>
        <w:tc>
          <w:tcPr>
            <w:tcW w:w="161" w:type="dxa"/>
            <w:tcBorders/>
            <w:vAlign w:val="bottom"/>
          </w:tcPr>
          <w:p>
            <w:pPr>
              <w:pStyle w:val="TableContents"/>
              <w:bidi w:val="0"/>
              <w:spacing w:before="0" w:after="283"/>
              <w:jc w:val="left"/>
              <w:rPr/>
            </w:pPr>
            <w:r>
              <w:rPr/>
              <w:t>) </w:t>
            </w:r>
          </w:p>
        </w:tc>
      </w:tr>
      <w:tr>
        <w:trPr/>
        <w:tc>
          <w:tcPr>
            <w:tcW w:w="349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338"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7"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(21,208</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Geographic Information </w:t>
      </w:r>
    </w:p>
    <w:p>
      <w:pPr>
        <w:pStyle w:val="TextBody"/>
        <w:bidi w:val="0"/>
        <w:spacing w:before="120" w:after="0"/>
        <w:jc w:val="left"/>
        <w:rPr>
          <w:rFonts w:ascii="Times New Roman" w:hAnsi="Times New Roman"/>
          <w:sz w:val="20"/>
        </w:rPr>
      </w:pPr>
      <w:r>
        <w:rPr>
          <w:rFonts w:ascii="Times New Roman" w:hAnsi="Times New Roman"/>
          <w:sz w:val="20"/>
        </w:rPr>
        <w:t xml:space="preserve">Revenue is attributed to a geographic region based on the location of the customer taking possession of the products or services. Long-lived assets are attributed to the geographic region based on the physical location of the assets. </w:t>
      </w:r>
    </w:p>
    <w:p>
      <w:pPr>
        <w:pStyle w:val="TextBody"/>
        <w:bidi w:val="0"/>
        <w:spacing w:before="240" w:after="0"/>
        <w:jc w:val="left"/>
        <w:rPr>
          <w:rFonts w:ascii="Times New Roman" w:hAnsi="Times New Roman"/>
          <w:sz w:val="20"/>
        </w:rPr>
      </w:pPr>
      <w:r>
        <w:rPr>
          <w:rFonts w:ascii="Times New Roman" w:hAnsi="Times New Roman"/>
          <w:sz w:val="20"/>
        </w:rPr>
        <w:t xml:space="preserve">A summary of the Company’s Revenue and Long-lived assets as of the three months ended March 31, 2026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20"/>
        <w:gridCol w:w="491"/>
        <w:gridCol w:w="239"/>
        <w:gridCol w:w="1425"/>
        <w:gridCol w:w="60"/>
        <w:gridCol w:w="491"/>
        <w:gridCol w:w="239"/>
        <w:gridCol w:w="1425"/>
        <w:gridCol w:w="65"/>
      </w:tblGrid>
      <w:tr>
        <w:trPr/>
        <w:tc>
          <w:tcPr>
            <w:tcW w:w="3320"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32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6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6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Long-lived</w:t>
              <w:br/>
              <w:t>Assets</w:t>
            </w:r>
          </w:p>
        </w:tc>
        <w:tc>
          <w:tcPr>
            <w:tcW w:w="65" w:type="dxa"/>
            <w:tcBorders/>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6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Three</w:t>
              <w:br/>
              <w:t>Months Ended</w:t>
              <w:br/>
              <w:t>March 31, 2026</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6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65" w:type="dxa"/>
            <w:tcBorders/>
            <w:vAlign w:val="bottom"/>
          </w:tcPr>
          <w:p>
            <w:pPr>
              <w:pStyle w:val="TableContents"/>
              <w:bidi w:val="0"/>
              <w:spacing w:before="0" w:after="283"/>
              <w:jc w:val="left"/>
              <w:rPr/>
            </w:pPr>
            <w:r>
              <w:rPr/>
              <w:t> </w:t>
            </w:r>
          </w:p>
        </w:tc>
      </w:tr>
      <w:tr>
        <w:trPr/>
        <w:tc>
          <w:tcPr>
            <w:tcW w:w="33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491"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108,075</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106,757</w:t>
            </w:r>
          </w:p>
        </w:tc>
        <w:tc>
          <w:tcPr>
            <w:tcW w:w="65" w:type="dxa"/>
            <w:tcBorders/>
            <w:shd w:fill="CCEEFF" w:val="clear"/>
            <w:vAlign w:val="bottom"/>
          </w:tcPr>
          <w:p>
            <w:pPr>
              <w:pStyle w:val="TableContents"/>
              <w:bidi w:val="0"/>
              <w:spacing w:before="0" w:after="283"/>
              <w:jc w:val="left"/>
              <w:rPr/>
            </w:pPr>
            <w:r>
              <w:rPr/>
              <w:t> </w:t>
            </w:r>
          </w:p>
        </w:tc>
      </w:tr>
      <w:tr>
        <w:trPr/>
        <w:tc>
          <w:tcPr>
            <w:tcW w:w="3320"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491"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right"/>
              <w:rPr/>
            </w:pPr>
            <w:r>
              <w:rPr/>
              <w:t>12,964</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right"/>
              <w:rPr/>
            </w:pPr>
            <w:r>
              <w:rPr/>
              <w:t>16,758</w:t>
            </w:r>
          </w:p>
        </w:tc>
        <w:tc>
          <w:tcPr>
            <w:tcW w:w="65" w:type="dxa"/>
            <w:tcBorders/>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4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42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3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91"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121,039</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123,515</w:t>
            </w:r>
          </w:p>
        </w:tc>
        <w:tc>
          <w:tcPr>
            <w:tcW w:w="65"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4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42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Unaudited Notes to Condensed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March 31, 2026 and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summary of the Company’s Revenue for the three months ended March 31, 2025 and Long-lived assets as of year ended December 31, 2025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12"/>
        <w:gridCol w:w="512"/>
        <w:gridCol w:w="245"/>
        <w:gridCol w:w="1416"/>
        <w:gridCol w:w="60"/>
        <w:gridCol w:w="512"/>
        <w:gridCol w:w="291"/>
        <w:gridCol w:w="1743"/>
        <w:gridCol w:w="64"/>
      </w:tblGrid>
      <w:tr>
        <w:trPr/>
        <w:tc>
          <w:tcPr>
            <w:tcW w:w="2912" w:type="dxa"/>
            <w:tcBorders/>
            <w:vAlign w:val="center"/>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912"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16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6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20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Long-lived Assets</w:t>
            </w:r>
          </w:p>
        </w:tc>
        <w:tc>
          <w:tcPr>
            <w:tcW w:w="64" w:type="dxa"/>
            <w:tcBorders/>
            <w:vAlign w:val="bottom"/>
          </w:tcPr>
          <w:p>
            <w:pPr>
              <w:pStyle w:val="TableContents"/>
              <w:bidi w:val="0"/>
              <w:spacing w:before="0" w:after="283"/>
              <w:jc w:val="left"/>
              <w:rPr/>
            </w:pPr>
            <w:r>
              <w:rPr/>
              <w:t> </w:t>
            </w:r>
          </w:p>
        </w:tc>
      </w:tr>
      <w:tr>
        <w:trPr/>
        <w:tc>
          <w:tcPr>
            <w:tcW w:w="2912"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16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Three</w:t>
              <w:br/>
              <w:t>Months Ended</w:t>
              <w:br/>
              <w:t>March 31, 2025</w:t>
            </w:r>
          </w:p>
        </w:tc>
        <w:tc>
          <w:tcPr>
            <w:tcW w:w="6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20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4" w:type="dxa"/>
            <w:tcBorders/>
            <w:vAlign w:val="bottom"/>
          </w:tcPr>
          <w:p>
            <w:pPr>
              <w:pStyle w:val="TableContents"/>
              <w:bidi w:val="0"/>
              <w:spacing w:before="0" w:after="283"/>
              <w:jc w:val="left"/>
              <w:rPr/>
            </w:pPr>
            <w:r>
              <w:rPr/>
              <w:t> </w:t>
            </w:r>
          </w:p>
        </w:tc>
      </w:tr>
      <w:tr>
        <w:trPr/>
        <w:tc>
          <w:tcPr>
            <w:tcW w:w="29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51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416" w:type="dxa"/>
            <w:tcBorders/>
            <w:shd w:fill="CCEEFF" w:val="clear"/>
            <w:vAlign w:val="bottom"/>
          </w:tcPr>
          <w:p>
            <w:pPr>
              <w:pStyle w:val="TableContents"/>
              <w:bidi w:val="0"/>
              <w:spacing w:before="0" w:after="283"/>
              <w:jc w:val="right"/>
              <w:rPr/>
            </w:pPr>
            <w:r>
              <w:rPr/>
              <w:t>99,551</w:t>
            </w:r>
          </w:p>
        </w:tc>
        <w:tc>
          <w:tcPr>
            <w:tcW w:w="6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743" w:type="dxa"/>
            <w:tcBorders/>
            <w:shd w:fill="CCEEFF" w:val="clear"/>
            <w:vAlign w:val="bottom"/>
          </w:tcPr>
          <w:p>
            <w:pPr>
              <w:pStyle w:val="TableContents"/>
              <w:bidi w:val="0"/>
              <w:spacing w:before="0" w:after="283"/>
              <w:jc w:val="right"/>
              <w:rPr/>
            </w:pPr>
            <w:r>
              <w:rPr/>
              <w:t>107,239</w:t>
            </w:r>
          </w:p>
        </w:tc>
        <w:tc>
          <w:tcPr>
            <w:tcW w:w="64" w:type="dxa"/>
            <w:tcBorders/>
            <w:shd w:fill="CCEEFF" w:val="clear"/>
            <w:vAlign w:val="bottom"/>
          </w:tcPr>
          <w:p>
            <w:pPr>
              <w:pStyle w:val="TableContents"/>
              <w:bidi w:val="0"/>
              <w:spacing w:before="0" w:after="283"/>
              <w:jc w:val="left"/>
              <w:rPr/>
            </w:pPr>
            <w:r>
              <w:rPr/>
              <w:t> </w:t>
            </w:r>
          </w:p>
        </w:tc>
      </w:tr>
      <w:tr>
        <w:trPr/>
        <w:tc>
          <w:tcPr>
            <w:tcW w:w="2912"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51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6" w:type="dxa"/>
            <w:tcBorders/>
            <w:vAlign w:val="bottom"/>
          </w:tcPr>
          <w:p>
            <w:pPr>
              <w:pStyle w:val="TableContents"/>
              <w:bidi w:val="0"/>
              <w:spacing w:before="0" w:after="283"/>
              <w:jc w:val="right"/>
              <w:rPr/>
            </w:pPr>
            <w:r>
              <w:rPr/>
              <w:t>2,993</w:t>
            </w:r>
          </w:p>
        </w:tc>
        <w:tc>
          <w:tcPr>
            <w:tcW w:w="6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16,389</w:t>
            </w:r>
          </w:p>
        </w:tc>
        <w:tc>
          <w:tcPr>
            <w:tcW w:w="64" w:type="dxa"/>
            <w:tcBorders/>
            <w:vAlign w:val="bottom"/>
          </w:tcPr>
          <w:p>
            <w:pPr>
              <w:pStyle w:val="TableContents"/>
              <w:bidi w:val="0"/>
              <w:spacing w:before="0" w:after="283"/>
              <w:jc w:val="left"/>
              <w:rPr/>
            </w:pPr>
            <w:r>
              <w:rPr/>
              <w:t> </w:t>
            </w:r>
          </w:p>
        </w:tc>
      </w:tr>
      <w:tr>
        <w:trPr/>
        <w:tc>
          <w:tcPr>
            <w:tcW w:w="2912" w:type="dxa"/>
            <w:tcBorders/>
            <w:vAlign w:val="bottom"/>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4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9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1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416" w:type="dxa"/>
            <w:tcBorders/>
            <w:shd w:fill="CCEEFF" w:val="clear"/>
            <w:vAlign w:val="bottom"/>
          </w:tcPr>
          <w:p>
            <w:pPr>
              <w:pStyle w:val="TableContents"/>
              <w:bidi w:val="0"/>
              <w:spacing w:before="0" w:after="283"/>
              <w:jc w:val="right"/>
              <w:rPr/>
            </w:pPr>
            <w:r>
              <w:rPr/>
              <w:t>102,543</w:t>
            </w:r>
          </w:p>
        </w:tc>
        <w:tc>
          <w:tcPr>
            <w:tcW w:w="6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743" w:type="dxa"/>
            <w:tcBorders/>
            <w:shd w:fill="CCEEFF" w:val="clear"/>
            <w:vAlign w:val="bottom"/>
          </w:tcPr>
          <w:p>
            <w:pPr>
              <w:pStyle w:val="TableContents"/>
              <w:bidi w:val="0"/>
              <w:spacing w:before="0" w:after="283"/>
              <w:jc w:val="right"/>
              <w:rPr/>
            </w:pPr>
            <w:r>
              <w:rPr/>
              <w:t>123,628</w:t>
            </w:r>
          </w:p>
        </w:tc>
        <w:tc>
          <w:tcPr>
            <w:tcW w:w="64" w:type="dxa"/>
            <w:tcBorders/>
            <w:shd w:fill="CCEEFF" w:val="clear"/>
            <w:vAlign w:val="bottom"/>
          </w:tcPr>
          <w:p>
            <w:pPr>
              <w:pStyle w:val="TableContents"/>
              <w:bidi w:val="0"/>
              <w:spacing w:before="0" w:after="283"/>
              <w:jc w:val="left"/>
              <w:rPr/>
            </w:pPr>
            <w:r>
              <w:rPr/>
              <w:t> </w:t>
            </w:r>
          </w:p>
        </w:tc>
      </w:tr>
      <w:tr>
        <w:trPr/>
        <w:tc>
          <w:tcPr>
            <w:tcW w:w="2912" w:type="dxa"/>
            <w:tcBorders/>
            <w:vAlign w:val="bottom"/>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4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Long-lived assets include Property, Plant, and Equipment, Net and Operating Lease Right of Use Assets, Net. </w:t>
      </w:r>
    </w:p>
    <w:p>
      <w:pPr>
        <w:pStyle w:val="TextBody"/>
        <w:bidi w:val="0"/>
        <w:spacing w:before="360" w:after="0"/>
        <w:jc w:val="left"/>
        <w:rPr>
          <w:rFonts w:ascii="Times New Roman" w:hAnsi="Times New Roman"/>
          <w:b/>
          <w:sz w:val="20"/>
        </w:rPr>
      </w:pPr>
      <w:r>
        <w:rPr>
          <w:rFonts w:ascii="Times New Roman" w:hAnsi="Times New Roman"/>
          <w:b/>
          <w:sz w:val="20"/>
        </w:rPr>
        <w:t xml:space="preserve">NOTE 15 –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Certain executives of the Company own a direct and indirect minority interest in a customer of the Company. For the three months ended March 31, 2026 and 2025, the revenue earned by the Company from this customer was immaterial.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the counterparties to $6.0 million of TDC Loans (as defined in Note 9 of the audited consolidated financial statements of the Company for the fiscal year ended December 31, 2025) include $5.5 million owed to four executives of the Company and $0.5 million owed to a member of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NOTE 16 – Subsequent Events </w:t>
      </w:r>
    </w:p>
    <w:p>
      <w:pPr>
        <w:pStyle w:val="TextBody"/>
        <w:bidi w:val="0"/>
        <w:spacing w:before="120" w:after="0"/>
        <w:jc w:val="left"/>
        <w:rPr>
          <w:rFonts w:ascii="Times New Roman" w:hAnsi="Times New Roman"/>
          <w:i/>
          <w:sz w:val="20"/>
        </w:rPr>
      </w:pPr>
      <w:r>
        <w:rPr>
          <w:rFonts w:ascii="Times New Roman" w:hAnsi="Times New Roman"/>
          <w:i/>
          <w:sz w:val="20"/>
        </w:rPr>
        <w:t xml:space="preserve">Outside Date Extension </w:t>
      </w:r>
    </w:p>
    <w:p>
      <w:pPr>
        <w:pStyle w:val="TextBody"/>
        <w:bidi w:val="0"/>
        <w:spacing w:before="120" w:after="0"/>
        <w:jc w:val="left"/>
        <w:rPr>
          <w:rFonts w:ascii="Times New Roman" w:hAnsi="Times New Roman"/>
          <w:sz w:val="20"/>
        </w:rPr>
      </w:pPr>
      <w:r>
        <w:rPr>
          <w:rFonts w:ascii="Times New Roman" w:hAnsi="Times New Roman"/>
          <w:sz w:val="20"/>
        </w:rPr>
        <w:t xml:space="preserve">During May 2026, Live Oak and Teamshares entered into an agreement to extend the Outside Date to July 15, 2026 to provide the parties with additional time to consummate the SPAC Merger. The maturity date of the HBC Credit Facility remains the earliest of: 1) December 24, 2026, 2) the date on which the SPAC Merger is consummated, 3) the date on which the Merger Agreement is terminated, or 4) unless a Registration Statement on Form S-4 in connection with the SPAC Merger has been declared effective, the date that is 30 days prior to the Outside Date. </w:t>
      </w:r>
    </w:p>
    <w:p>
      <w:pPr>
        <w:pStyle w:val="TextBody"/>
        <w:bidi w:val="0"/>
        <w:spacing w:before="360" w:after="0"/>
        <w:jc w:val="left"/>
        <w:rPr>
          <w:rFonts w:ascii="Times New Roman" w:hAnsi="Times New Roman"/>
          <w:i/>
          <w:sz w:val="20"/>
        </w:rPr>
      </w:pPr>
      <w:r>
        <w:rPr>
          <w:rFonts w:ascii="Times New Roman" w:hAnsi="Times New Roman"/>
          <w:i/>
          <w:sz w:val="20"/>
        </w:rPr>
        <w:t xml:space="preserve">Business Combinations Subsequent to March 31, 2026 </w:t>
      </w:r>
    </w:p>
    <w:p>
      <w:pPr>
        <w:pStyle w:val="TextBody"/>
        <w:bidi w:val="0"/>
        <w:spacing w:before="120" w:after="0"/>
        <w:jc w:val="left"/>
        <w:rPr>
          <w:rFonts w:ascii="Times New Roman" w:hAnsi="Times New Roman"/>
          <w:sz w:val="20"/>
        </w:rPr>
      </w:pPr>
      <w:r>
        <w:rPr>
          <w:rFonts w:ascii="Times New Roman" w:hAnsi="Times New Roman"/>
          <w:sz w:val="20"/>
        </w:rPr>
        <w:t xml:space="preserve">During May 2026, the Company completed one business combination in the United States for a total purchase consideration of $13.0 million. The Company paid $3.0 million in cash upon the close of the business combination, and the remaining purchase consideration was paid in the form of a Seller Note. The principal balance of the Seller Note is $10.0 million, of which $7.3 million matures in 2026. The remaining $2.7 million of Seller Note principal matures in 2029. </w:t>
      </w:r>
    </w:p>
    <w:p>
      <w:pPr>
        <w:pStyle w:val="TextBody"/>
        <w:bidi w:val="0"/>
        <w:spacing w:before="240" w:after="0"/>
        <w:jc w:val="left"/>
        <w:rPr>
          <w:rFonts w:ascii="Times New Roman" w:hAnsi="Times New Roman"/>
          <w:sz w:val="20"/>
        </w:rPr>
      </w:pPr>
      <w:r>
        <w:rPr>
          <w:rFonts w:ascii="Times New Roman" w:hAnsi="Times New Roman"/>
          <w:sz w:val="20"/>
        </w:rPr>
        <w:t xml:space="preserve">Due to the close proximity of the closing of this business combination to the issuance of the Company’s financial statements for the period of March 31, 2026, the Company’s initial assessment of the assets acquired and the liabilities assumed has not been completed, and therefore this business combination has not been disclosed in any of the disclosures in NOTE 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6" w:name="fin58823_1"/>
      <w:bookmarkEnd w:id="46"/>
      <w:r>
        <w:rPr>
          <w:rFonts w:ascii="Times New Roman" w:hAnsi="Times New Roman"/>
          <w:b/>
          <w:sz w:val="20"/>
        </w:rPr>
        <w:t xml:space="preserve">Report of Independent Registered Public Accounting Firm </w:t>
      </w:r>
    </w:p>
    <w:p>
      <w:pPr>
        <w:pStyle w:val="TextBody"/>
        <w:bidi w:val="0"/>
        <w:spacing w:before="280" w:after="0"/>
        <w:jc w:val="left"/>
        <w:rPr>
          <w:rFonts w:ascii="Times New Roman" w:hAnsi="Times New Roman"/>
          <w:sz w:val="20"/>
        </w:rPr>
      </w:pPr>
      <w:r>
        <w:rPr>
          <w:rFonts w:ascii="Times New Roman" w:hAnsi="Times New Roman"/>
          <w:sz w:val="20"/>
        </w:rPr>
        <w:t xml:space="preserve">To 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Teamshares Inc.: </w:t>
      </w:r>
    </w:p>
    <w:p>
      <w:pPr>
        <w:pStyle w:val="TextBody"/>
        <w:bidi w:val="0"/>
        <w:spacing w:before="240" w:after="0"/>
        <w:jc w:val="left"/>
        <w:rPr>
          <w:rFonts w:ascii="Times New Roman" w:hAnsi="Times New Roman"/>
          <w:i/>
          <w:sz w:val="20"/>
        </w:rPr>
      </w:pPr>
      <w:r>
        <w:rPr>
          <w:rFonts w:ascii="Times New Roman" w:hAnsi="Times New Roman"/>
          <w:i/>
          <w:sz w:val="20"/>
        </w:rPr>
        <w:t xml:space="preserve">Opinion on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We have audited the accompanying consolidated balance sheets of Teamshares Inc. and subsidiaries (the Company) as of December 31, 2025 and 2024, the related consolidated statements of operations, comprehensive loss, stockholders’ equity, and cash flows for the years then ended,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U.S. generally accepted accounting principles. </w:t>
      </w:r>
    </w:p>
    <w:p>
      <w:pPr>
        <w:pStyle w:val="TextBody"/>
        <w:bidi w:val="0"/>
        <w:spacing w:before="360" w:after="0"/>
        <w:jc w:val="left"/>
        <w:rPr>
          <w:rFonts w:ascii="Times New Roman" w:hAnsi="Times New Roman"/>
          <w:i/>
          <w:sz w:val="20"/>
        </w:rPr>
      </w:pPr>
      <w:r>
        <w:rPr>
          <w:rFonts w:ascii="Times New Roman" w:hAnsi="Times New Roman"/>
          <w:i/>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assuming that the Company will continue as a going concern. As discussed in Note 1 to the consolidated financial statements, the Company has incurred net losses, negative cash flows from operations, and has substantial debt coming due within the next 12 months that exceeds its liquidity and forecasted cash flows, all of which raises substantial doubt about its ability to continue as a going concern. Management’s plans in regard to these matters are also described in Note 1. The consolidated financial statements do not include any adjustments that might result from the outcome of this uncertainty. </w:t>
      </w:r>
    </w:p>
    <w:p>
      <w:pPr>
        <w:pStyle w:val="TextBody"/>
        <w:bidi w:val="0"/>
        <w:spacing w:before="360" w:after="0"/>
        <w:jc w:val="left"/>
        <w:rPr>
          <w:rFonts w:ascii="Times New Roman" w:hAnsi="Times New Roman"/>
          <w:i/>
          <w:sz w:val="20"/>
        </w:rPr>
      </w:pPr>
      <w:r>
        <w:rPr>
          <w:rFonts w:ascii="Times New Roman" w:hAnsi="Times New Roman"/>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240" w:after="0"/>
        <w:jc w:val="center"/>
        <w:rPr>
          <w:rFonts w:ascii="Times New Roman" w:hAnsi="Times New Roman"/>
          <w:b/>
          <w:sz w:val="16"/>
        </w:rPr>
      </w:pPr>
      <w:r>
        <w:rPr>
          <w:rFonts w:ascii="Times New Roman" w:hAnsi="Times New Roman"/>
          <w:b/>
          <w:sz w:val="16"/>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2022. </w:t>
      </w:r>
    </w:p>
    <w:p>
      <w:pPr>
        <w:pStyle w:val="TextBody"/>
        <w:bidi w:val="0"/>
        <w:spacing w:before="240" w:after="0"/>
        <w:jc w:val="left"/>
        <w:rPr>
          <w:rFonts w:ascii="Times New Roman" w:hAnsi="Times New Roman"/>
          <w:sz w:val="20"/>
        </w:rPr>
      </w:pPr>
      <w:r>
        <w:rPr>
          <w:rFonts w:ascii="Times New Roman" w:hAnsi="Times New Roman"/>
          <w:sz w:val="20"/>
        </w:rPr>
        <w:t xml:space="preserve">Dallas, Texas </w:t>
      </w:r>
    </w:p>
    <w:p>
      <w:pPr>
        <w:pStyle w:val="TextBody"/>
        <w:bidi w:val="0"/>
        <w:spacing w:before="0" w:after="0"/>
        <w:jc w:val="left"/>
        <w:rPr>
          <w:rFonts w:ascii="Times New Roman" w:hAnsi="Times New Roman"/>
          <w:sz w:val="20"/>
        </w:rPr>
      </w:pPr>
      <w:r>
        <w:rPr>
          <w:rFonts w:ascii="Times New Roman" w:hAnsi="Times New Roman"/>
          <w:sz w:val="20"/>
        </w:rPr>
        <w:t xml:space="preserve">March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47" w:name="fin58823_2"/>
      <w:bookmarkEnd w:id="47"/>
      <w:r>
        <w:rPr>
          <w:rFonts w:ascii="Times New Roman" w:hAnsi="Times New Roman"/>
          <w:sz w:val="20"/>
        </w:rPr>
        <w:t xml:space="preserve">CONSOLIDATED BALANCE SHEETS </w:t>
      </w:r>
    </w:p>
    <w:p>
      <w:pPr>
        <w:pStyle w:val="TextBody"/>
        <w:bidi w:val="0"/>
        <w:spacing w:before="0" w:after="0"/>
        <w:jc w:val="center"/>
        <w:rPr>
          <w:rFonts w:ascii="Times New Roman" w:hAnsi="Times New Roman"/>
          <w:sz w:val="20"/>
        </w:rPr>
      </w:pPr>
      <w:r>
        <w:rPr>
          <w:rFonts w:ascii="Times New Roman" w:hAnsi="Times New Roman"/>
          <w:sz w:val="20"/>
        </w:rPr>
        <w:t xml:space="preserve">December 31, 2025 and 2024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43"/>
        <w:gridCol w:w="254"/>
        <w:gridCol w:w="195"/>
        <w:gridCol w:w="1225"/>
        <w:gridCol w:w="155"/>
        <w:gridCol w:w="254"/>
        <w:gridCol w:w="195"/>
        <w:gridCol w:w="1225"/>
        <w:gridCol w:w="159"/>
      </w:tblGrid>
      <w:tr>
        <w:trPr/>
        <w:tc>
          <w:tcPr>
            <w:tcW w:w="6543"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43"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Assets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Current Assets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Cash and Cash Equivalents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40,246</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48,551</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Restricted Cash</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13,426</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17,651</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Accounts Receivable, Net</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21,354</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21,086</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Inventories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46,405</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30,263</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Prepaid Expenses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2,870</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2,984</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Other Current Assets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3,052</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6,878</w:t>
            </w:r>
          </w:p>
        </w:tc>
        <w:tc>
          <w:tcPr>
            <w:tcW w:w="159" w:type="dxa"/>
            <w:tcBorders/>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Current Assets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127,352</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127,412</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Long-Term Assets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Restricted Cash</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425</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9,307</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Property, Plant, and Equipment, Net</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30,043</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45,039</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Operating Lease Right of Use Assets, Net</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93,586</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50,988</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Goodwill, Net</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244,743</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163,658</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Internally Developed Software, Net</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6,769</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7,823</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Trade Names, Net</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11,598</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8,542</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Assets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13,676</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4,643</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Long-Term Assets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400,840</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290,001</w:t>
            </w:r>
          </w:p>
        </w:tc>
        <w:tc>
          <w:tcPr>
            <w:tcW w:w="159" w:type="dxa"/>
            <w:tcBorders/>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Assets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528,193</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417,413</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b/>
                <w:sz w:val="16"/>
              </w:rPr>
            </w:pPr>
            <w:r>
              <w:rPr>
                <w:rFonts w:ascii="Times New Roman" w:hAnsi="Times New Roman"/>
                <w:b/>
                <w:sz w:val="16"/>
              </w:rPr>
              <w:t>Liabilities and Stockholders’ Equity</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Current Liabilities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Accounts Payable</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22,586</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16,173</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Accrued Expenses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10,562</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8,212</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Deferred Revenue</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10,051</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7,130</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Contingent Consideration</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3,151</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1,828</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Short-Term Debt and Current Portion of Long-Term Debt</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200,147</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1,111</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Current Portion of Operating Lease Obligations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8,524</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5,920</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Other Current Liabilities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9,893</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6,698</w:t>
            </w:r>
          </w:p>
        </w:tc>
        <w:tc>
          <w:tcPr>
            <w:tcW w:w="159" w:type="dxa"/>
            <w:tcBorders/>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Current Liabilities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264,913</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47,073</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Long-Term Liabilities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Warrant Liability</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2,922</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6,620</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Contingent Consideration</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6,044</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1,919</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Long-Term Debt, Net</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91,399</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180,168</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Long-Term Operating Lease Obligations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88,144</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48,070</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Long-Term Liabilities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8,687</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1,661</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Long-Term Liabilities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197,196</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238,439</w:t>
            </w:r>
          </w:p>
        </w:tc>
        <w:tc>
          <w:tcPr>
            <w:tcW w:w="159" w:type="dxa"/>
            <w:tcBorders/>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Liabilities</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462,109</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285,512</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Redeemable Noncontrolling Interests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2,451</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4,194</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Stockholders’ Equity</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Common Stock, $0.00001 par value, 11,307,218 shares authorized, 1,174,429 issued and outstanding as of December 31, 2025; 11,307,218 shares authorized, 1,162,180 shares issued and outstanding as of December 31, 2024</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Preferred Stock, $0.00001 par value, 8,428,093 shares authorized, 7,758,235 issued and outstanding, liquidation preference of $337,206,414 as of December 31, 2025; 8,100,554 shares authorized, 7,740,549 issued and outstanding, liquidation preference of $335,856,441 as of December 31, 2024</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Additional Paid-In Capital</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327,843</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324,200</w:t>
            </w:r>
          </w:p>
        </w:tc>
        <w:tc>
          <w:tcPr>
            <w:tcW w:w="159"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Accumulated Deficit</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(261,775</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(195,856</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Accumulated Other Comprehensive Loss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(128</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(159</w:t>
            </w:r>
          </w:p>
        </w:tc>
        <w:tc>
          <w:tcPr>
            <w:tcW w:w="159" w:type="dxa"/>
            <w:tcBorders/>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Stockholders’ Equity</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65,941</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128,184</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sz w:val="16"/>
              </w:rPr>
            </w:pPr>
            <w:r>
              <w:rPr>
                <w:rFonts w:ascii="Times New Roman" w:hAnsi="Times New Roman"/>
                <w:sz w:val="16"/>
              </w:rPr>
              <w:t>Noncontrolling Interests</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(2,308</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(476</w:t>
            </w:r>
          </w:p>
        </w:tc>
        <w:tc>
          <w:tcPr>
            <w:tcW w:w="159" w:type="dxa"/>
            <w:tcBorders/>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Equity</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63,633</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127,708</w:t>
            </w:r>
          </w:p>
        </w:tc>
        <w:tc>
          <w:tcPr>
            <w:tcW w:w="159" w:type="dxa"/>
            <w:tcBorders/>
            <w:shd w:fill="CCEEFF" w:val="clear"/>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Liabilities and Stockholders’ Equity</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528,193</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417,413</w:t>
            </w:r>
          </w:p>
        </w:tc>
        <w:tc>
          <w:tcPr>
            <w:tcW w:w="159" w:type="dxa"/>
            <w:tcBorders/>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48" w:name="fin58823_3"/>
      <w:bookmarkEnd w:id="48"/>
      <w:r>
        <w:rPr>
          <w:rFonts w:ascii="Times New Roman" w:hAnsi="Times New Roman"/>
          <w:sz w:val="20"/>
        </w:rPr>
        <w:t xml:space="preserve">CONSOLIDATED STATEMENTS OF OPERATIONS </w:t>
      </w:r>
    </w:p>
    <w:p>
      <w:pPr>
        <w:pStyle w:val="TextBody"/>
        <w:bidi w:val="0"/>
        <w:spacing w:before="0" w:after="0"/>
        <w:jc w:val="center"/>
        <w:rPr>
          <w:rFonts w:ascii="Times New Roman" w:hAnsi="Times New Roman"/>
          <w:sz w:val="20"/>
        </w:rPr>
      </w:pPr>
      <w:r>
        <w:rPr>
          <w:rFonts w:ascii="Times New Roman" w:hAnsi="Times New Roman"/>
          <w:sz w:val="20"/>
        </w:rPr>
        <w:t xml:space="preserve">December 31, 2025 and 2024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69"/>
        <w:gridCol w:w="363"/>
        <w:gridCol w:w="210"/>
        <w:gridCol w:w="1209"/>
        <w:gridCol w:w="155"/>
        <w:gridCol w:w="320"/>
        <w:gridCol w:w="210"/>
        <w:gridCol w:w="1209"/>
        <w:gridCol w:w="160"/>
      </w:tblGrid>
      <w:tr>
        <w:trPr/>
        <w:tc>
          <w:tcPr>
            <w:tcW w:w="6369"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69"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60"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Products</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332,356</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254,464</w:t>
            </w:r>
          </w:p>
        </w:tc>
        <w:tc>
          <w:tcPr>
            <w:tcW w:w="160"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Services</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139,211</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144,177</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471,567</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398,641</w:t>
            </w:r>
          </w:p>
        </w:tc>
        <w:tc>
          <w:tcPr>
            <w:tcW w:w="160"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 of Revenue:</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Products</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203,230</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164,355</w:t>
            </w:r>
          </w:p>
        </w:tc>
        <w:tc>
          <w:tcPr>
            <w:tcW w:w="160"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Services</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85,238</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94,966</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Total Cost of Revenue</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288,467</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259,321</w:t>
            </w:r>
          </w:p>
        </w:tc>
        <w:tc>
          <w:tcPr>
            <w:tcW w:w="160" w:type="dxa"/>
            <w:tcBorders/>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183,100</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139,320</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 (Income)</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3,086</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3,747</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5,907</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5,635</w:t>
            </w:r>
          </w:p>
        </w:tc>
        <w:tc>
          <w:tcPr>
            <w:tcW w:w="160"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191,421</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167,632</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19,412</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15,645</w:t>
            </w:r>
          </w:p>
        </w:tc>
        <w:tc>
          <w:tcPr>
            <w:tcW w:w="160"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Disposition of Assets</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(5,418</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2,661</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214,409</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195,321</w:t>
            </w:r>
          </w:p>
        </w:tc>
        <w:tc>
          <w:tcPr>
            <w:tcW w:w="160" w:type="dxa"/>
            <w:tcBorders/>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(31,308</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(56,001</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b/>
                <w:sz w:val="20"/>
              </w:rPr>
            </w:pPr>
            <w:r>
              <w:rPr>
                <w:rFonts w:ascii="Times New Roman" w:hAnsi="Times New Roman"/>
                <w:b/>
                <w:sz w:val="20"/>
              </w:rPr>
              <w:t>Non-Operating Expenses (Income)</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31,191</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27,766</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4,642</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(3,956</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(702</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1,326</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91</w:t>
            </w:r>
          </w:p>
        </w:tc>
        <w:tc>
          <w:tcPr>
            <w:tcW w:w="160"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Expense (Income), Net</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1,284</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(199</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Total Non-Operating Expenses</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34,487</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26,955</w:t>
            </w:r>
          </w:p>
        </w:tc>
        <w:tc>
          <w:tcPr>
            <w:tcW w:w="160" w:type="dxa"/>
            <w:tcBorders/>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(65,795</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(82,957</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562</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890</w:t>
            </w:r>
          </w:p>
        </w:tc>
        <w:tc>
          <w:tcPr>
            <w:tcW w:w="160" w:type="dxa"/>
            <w:tcBorders/>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(66,358</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(83,846</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Interests</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(439</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(549</w:t>
            </w:r>
          </w:p>
        </w:tc>
        <w:tc>
          <w:tcPr>
            <w:tcW w:w="160" w:type="dxa"/>
            <w:tcBorders/>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Attributable to Teamshares Inc.</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(65,919</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(83,297</w:t>
            </w:r>
          </w:p>
        </w:tc>
        <w:tc>
          <w:tcPr>
            <w:tcW w:w="160" w:type="dxa"/>
            <w:tcBorders/>
            <w:shd w:fill="CCEEFF" w:val="clear"/>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3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(65,670</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(83,024</w:t>
            </w:r>
          </w:p>
        </w:tc>
        <w:tc>
          <w:tcPr>
            <w:tcW w:w="160"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3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(56.46</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(71.97</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49" w:name="fin58823_4"/>
      <w:bookmarkEnd w:id="49"/>
      <w:r>
        <w:rPr>
          <w:rFonts w:ascii="Times New Roman" w:hAnsi="Times New Roman"/>
          <w:sz w:val="20"/>
        </w:rPr>
        <w:t xml:space="preserve">CONSOLIDATED STATEMENTS OF COMPREHENSIVE LOSS </w:t>
      </w:r>
    </w:p>
    <w:p>
      <w:pPr>
        <w:pStyle w:val="TextBody"/>
        <w:bidi w:val="0"/>
        <w:spacing w:before="0" w:after="0"/>
        <w:jc w:val="center"/>
        <w:rPr>
          <w:rFonts w:ascii="Times New Roman" w:hAnsi="Times New Roman"/>
          <w:sz w:val="20"/>
        </w:rPr>
      </w:pPr>
      <w:r>
        <w:rPr>
          <w:rFonts w:ascii="Times New Roman" w:hAnsi="Times New Roman"/>
          <w:sz w:val="20"/>
        </w:rPr>
        <w:t xml:space="preserve">December 31, 2025 and 2024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62"/>
        <w:gridCol w:w="363"/>
        <w:gridCol w:w="221"/>
        <w:gridCol w:w="1203"/>
        <w:gridCol w:w="155"/>
        <w:gridCol w:w="320"/>
        <w:gridCol w:w="221"/>
        <w:gridCol w:w="1203"/>
        <w:gridCol w:w="157"/>
      </w:tblGrid>
      <w:tr>
        <w:trPr/>
        <w:tc>
          <w:tcPr>
            <w:tcW w:w="6362"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62"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7" w:type="dxa"/>
            <w:tcBorders/>
            <w:vAlign w:val="bottom"/>
          </w:tcPr>
          <w:p>
            <w:pPr>
              <w:pStyle w:val="TableContents"/>
              <w:bidi w:val="0"/>
              <w:spacing w:before="0" w:after="283"/>
              <w:jc w:val="left"/>
              <w:rPr/>
            </w:pPr>
            <w:r>
              <w:rPr/>
              <w:t> </w:t>
            </w:r>
          </w:p>
        </w:tc>
      </w:tr>
      <w:tr>
        <w:trPr/>
        <w:tc>
          <w:tcPr>
            <w:tcW w:w="63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6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3" w:type="dxa"/>
            <w:tcBorders/>
            <w:shd w:fill="CCEEFF" w:val="clear"/>
            <w:vAlign w:val="bottom"/>
          </w:tcPr>
          <w:p>
            <w:pPr>
              <w:pStyle w:val="TableContents"/>
              <w:bidi w:val="0"/>
              <w:spacing w:before="0" w:after="283"/>
              <w:jc w:val="right"/>
              <w:rPr/>
            </w:pPr>
            <w:r>
              <w:rPr/>
              <w:t>(66,358</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3" w:type="dxa"/>
            <w:tcBorders/>
            <w:shd w:fill="CCEEFF" w:val="clear"/>
            <w:vAlign w:val="bottom"/>
          </w:tcPr>
          <w:p>
            <w:pPr>
              <w:pStyle w:val="TableContents"/>
              <w:bidi w:val="0"/>
              <w:spacing w:before="0" w:after="283"/>
              <w:jc w:val="right"/>
              <w:rPr/>
            </w:pPr>
            <w:r>
              <w:rPr/>
              <w:t>(83,846</w:t>
            </w:r>
          </w:p>
        </w:tc>
        <w:tc>
          <w:tcPr>
            <w:tcW w:w="157" w:type="dxa"/>
            <w:tcBorders/>
            <w:shd w:fill="CCEEFF" w:val="clear"/>
            <w:vAlign w:val="bottom"/>
          </w:tcPr>
          <w:p>
            <w:pPr>
              <w:pStyle w:val="TableContents"/>
              <w:bidi w:val="0"/>
              <w:spacing w:before="0" w:after="283"/>
              <w:jc w:val="left"/>
              <w:rPr/>
            </w:pPr>
            <w:r>
              <w:rPr/>
              <w:t>) </w:t>
            </w:r>
          </w:p>
        </w:tc>
      </w:tr>
      <w:tr>
        <w:trPr/>
        <w:tc>
          <w:tcPr>
            <w:tcW w:w="6362"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(Loss) Income, net of tax:</w:t>
            </w:r>
          </w:p>
        </w:tc>
        <w:tc>
          <w:tcPr>
            <w:tcW w:w="363"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36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(348</w:t>
            </w:r>
          </w:p>
        </w:tc>
        <w:tc>
          <w:tcPr>
            <w:tcW w:w="157" w:type="dxa"/>
            <w:tcBorders/>
            <w:shd w:fill="CCEEFF" w:val="clear"/>
            <w:vAlign w:val="bottom"/>
          </w:tcPr>
          <w:p>
            <w:pPr>
              <w:pStyle w:val="TableContents"/>
              <w:bidi w:val="0"/>
              <w:spacing w:before="0" w:after="283"/>
              <w:jc w:val="left"/>
              <w:rPr/>
            </w:pPr>
            <w:r>
              <w:rPr/>
              <w:t>) </w:t>
            </w:r>
          </w:p>
        </w:tc>
      </w:tr>
      <w:tr>
        <w:trPr/>
        <w:tc>
          <w:tcPr>
            <w:tcW w:w="6362"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62"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(Loss) Income</w:t>
            </w:r>
          </w:p>
        </w:tc>
        <w:tc>
          <w:tcPr>
            <w:tcW w:w="363"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(348</w:t>
            </w:r>
          </w:p>
        </w:tc>
        <w:tc>
          <w:tcPr>
            <w:tcW w:w="157" w:type="dxa"/>
            <w:tcBorders/>
            <w:vAlign w:val="bottom"/>
          </w:tcPr>
          <w:p>
            <w:pPr>
              <w:pStyle w:val="TableContents"/>
              <w:bidi w:val="0"/>
              <w:spacing w:before="0" w:after="283"/>
              <w:jc w:val="left"/>
              <w:rPr/>
            </w:pPr>
            <w:r>
              <w:rPr/>
              <w:t>) </w:t>
            </w:r>
          </w:p>
        </w:tc>
      </w:tr>
      <w:tr>
        <w:trPr/>
        <w:tc>
          <w:tcPr>
            <w:tcW w:w="6362"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Comprehensive Loss Including Noncontrolling Interests</w:t>
            </w:r>
          </w:p>
        </w:tc>
        <w:tc>
          <w:tcPr>
            <w:tcW w:w="36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(66,327</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(84,195</w:t>
            </w:r>
          </w:p>
        </w:tc>
        <w:tc>
          <w:tcPr>
            <w:tcW w:w="157" w:type="dxa"/>
            <w:tcBorders/>
            <w:shd w:fill="CCEEFF" w:val="clear"/>
            <w:vAlign w:val="bottom"/>
          </w:tcPr>
          <w:p>
            <w:pPr>
              <w:pStyle w:val="TableContents"/>
              <w:bidi w:val="0"/>
              <w:spacing w:before="0" w:after="283"/>
              <w:jc w:val="left"/>
              <w:rPr/>
            </w:pPr>
            <w:r>
              <w:rPr/>
              <w:t>) </w:t>
            </w:r>
          </w:p>
        </w:tc>
      </w:tr>
      <w:tr>
        <w:trPr/>
        <w:tc>
          <w:tcPr>
            <w:tcW w:w="6362"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 Attributable to Noncontrolling Interests</w:t>
            </w:r>
          </w:p>
        </w:tc>
        <w:tc>
          <w:tcPr>
            <w:tcW w:w="363"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(439</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(549</w:t>
            </w:r>
          </w:p>
        </w:tc>
        <w:tc>
          <w:tcPr>
            <w:tcW w:w="157" w:type="dxa"/>
            <w:tcBorders/>
            <w:vAlign w:val="bottom"/>
          </w:tcPr>
          <w:p>
            <w:pPr>
              <w:pStyle w:val="TableContents"/>
              <w:bidi w:val="0"/>
              <w:spacing w:before="0" w:after="283"/>
              <w:jc w:val="left"/>
              <w:rPr/>
            </w:pPr>
            <w:r>
              <w:rPr/>
              <w:t>) </w:t>
            </w:r>
          </w:p>
        </w:tc>
      </w:tr>
      <w:tr>
        <w:trPr/>
        <w:tc>
          <w:tcPr>
            <w:tcW w:w="6362"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Comprehensive Loss Attributable to Teamshares Inc.</w:t>
            </w:r>
          </w:p>
        </w:tc>
        <w:tc>
          <w:tcPr>
            <w:tcW w:w="36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3" w:type="dxa"/>
            <w:tcBorders/>
            <w:shd w:fill="CCEEFF" w:val="clear"/>
            <w:vAlign w:val="bottom"/>
          </w:tcPr>
          <w:p>
            <w:pPr>
              <w:pStyle w:val="TableContents"/>
              <w:bidi w:val="0"/>
              <w:spacing w:before="0" w:after="283"/>
              <w:jc w:val="right"/>
              <w:rPr/>
            </w:pPr>
            <w:r>
              <w:rPr/>
              <w:t>(65,888</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3" w:type="dxa"/>
            <w:tcBorders/>
            <w:shd w:fill="CCEEFF" w:val="clear"/>
            <w:vAlign w:val="bottom"/>
          </w:tcPr>
          <w:p>
            <w:pPr>
              <w:pStyle w:val="TableContents"/>
              <w:bidi w:val="0"/>
              <w:spacing w:before="0" w:after="283"/>
              <w:jc w:val="right"/>
              <w:rPr/>
            </w:pPr>
            <w:r>
              <w:rPr/>
              <w:t>(83,645</w:t>
            </w:r>
          </w:p>
        </w:tc>
        <w:tc>
          <w:tcPr>
            <w:tcW w:w="157" w:type="dxa"/>
            <w:tcBorders/>
            <w:shd w:fill="CCEEFF" w:val="clear"/>
            <w:vAlign w:val="bottom"/>
          </w:tcPr>
          <w:p>
            <w:pPr>
              <w:pStyle w:val="TableContents"/>
              <w:bidi w:val="0"/>
              <w:spacing w:before="0" w:after="283"/>
              <w:jc w:val="left"/>
              <w:rPr/>
            </w:pPr>
            <w:r>
              <w:rPr/>
              <w:t>) </w:t>
            </w:r>
          </w:p>
        </w:tc>
      </w:tr>
      <w:tr>
        <w:trPr/>
        <w:tc>
          <w:tcPr>
            <w:tcW w:w="6362"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50" w:name="fin58823_5"/>
      <w:bookmarkEnd w:id="50"/>
      <w:r>
        <w:rPr>
          <w:rFonts w:ascii="Times New Roman" w:hAnsi="Times New Roman"/>
          <w:sz w:val="20"/>
        </w:rPr>
        <w:t xml:space="preserve">CONSOLIDATED STATEMENTS OF STOCKHOLDERS’ EQUITY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in thousands except shares and par value</w:t>
      </w:r>
      <w:r>
        <w:rPr>
          <w:rFonts w:ascii="Times New Roman" w:hAnsi="Times New Roman"/>
          <w:sz w:val="20"/>
        </w:rPr>
        <w:t xml:space="preserve">) </w:t>
      </w:r>
    </w:p>
    <w:p>
      <w:pPr>
        <w:pStyle w:val="TextBody"/>
        <w:bidi w:val="0"/>
        <w:spacing w:before="0" w:after="0"/>
        <w:jc w:val="left"/>
        <w:rPr/>
      </w:pPr>
      <w:r>
        <w:rPr/>
        <w:t> </w:t>
      </w:r>
    </w:p>
    <w:tbl>
      <w:tblPr>
        <w:tblW w:w="17035" w:type="dxa"/>
        <w:jc w:val="center"/>
        <w:tblInd w:w="0" w:type="dxa"/>
        <w:tblLayout w:type="fixed"/>
        <w:tblCellMar>
          <w:top w:w="0" w:type="dxa"/>
          <w:left w:w="0" w:type="dxa"/>
          <w:bottom w:w="0" w:type="dxa"/>
          <w:right w:w="0" w:type="dxa"/>
        </w:tblCellMar>
      </w:tblPr>
      <w:tblGrid>
        <w:gridCol w:w="1325"/>
        <w:gridCol w:w="60"/>
        <w:gridCol w:w="280"/>
        <w:gridCol w:w="1270"/>
        <w:gridCol w:w="155"/>
        <w:gridCol w:w="60"/>
        <w:gridCol w:w="60"/>
        <w:gridCol w:w="980"/>
        <w:gridCol w:w="60"/>
        <w:gridCol w:w="60"/>
        <w:gridCol w:w="284"/>
        <w:gridCol w:w="771"/>
        <w:gridCol w:w="60"/>
        <w:gridCol w:w="60"/>
        <w:gridCol w:w="60"/>
        <w:gridCol w:w="980"/>
        <w:gridCol w:w="60"/>
        <w:gridCol w:w="60"/>
        <w:gridCol w:w="284"/>
        <w:gridCol w:w="771"/>
        <w:gridCol w:w="60"/>
        <w:gridCol w:w="60"/>
        <w:gridCol w:w="163"/>
        <w:gridCol w:w="937"/>
        <w:gridCol w:w="155"/>
        <w:gridCol w:w="60"/>
        <w:gridCol w:w="188"/>
        <w:gridCol w:w="1182"/>
        <w:gridCol w:w="155"/>
        <w:gridCol w:w="60"/>
        <w:gridCol w:w="378"/>
        <w:gridCol w:w="1232"/>
        <w:gridCol w:w="155"/>
        <w:gridCol w:w="60"/>
        <w:gridCol w:w="210"/>
        <w:gridCol w:w="1205"/>
        <w:gridCol w:w="155"/>
        <w:gridCol w:w="60"/>
        <w:gridCol w:w="280"/>
        <w:gridCol w:w="1270"/>
        <w:gridCol w:w="155"/>
        <w:gridCol w:w="60"/>
        <w:gridCol w:w="140"/>
        <w:gridCol w:w="800"/>
        <w:gridCol w:w="155"/>
      </w:tblGrid>
      <w:tr>
        <w:trPr/>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Redeemable</w:t>
              <w:br/>
              <w:t>Noncontrolling</w:t>
              <w:br/>
              <w:t>Interest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 Gain</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Equity</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55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Noncontrolling</w:t>
              <w:br/>
              <w:t>Interests</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94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Equity</w:t>
            </w:r>
          </w:p>
        </w:tc>
        <w:tc>
          <w:tcPr>
            <w:tcW w:w="155" w:type="dxa"/>
            <w:vMerge w:val="restart"/>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1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55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9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325" w:type="dxa"/>
            <w:tcBorders/>
            <w:shd w:fill="CCEEFF" w:val="clear"/>
          </w:tcPr>
          <w:p>
            <w:pPr>
              <w:pStyle w:val="TableContents"/>
              <w:bidi w:val="0"/>
              <w:spacing w:before="0" w:after="0"/>
              <w:jc w:val="left"/>
              <w:rPr>
                <w:rFonts w:ascii="Times New Roman" w:hAnsi="Times New Roman"/>
                <w:b/>
                <w:sz w:val="15"/>
              </w:rPr>
            </w:pPr>
            <w:r>
              <w:rPr>
                <w:rFonts w:ascii="Times New Roman" w:hAnsi="Times New Roman"/>
                <w:b/>
                <w:sz w:val="15"/>
              </w:rPr>
              <w:t>Balances, January 1, 2024</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6,566</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6,757,945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1,151,549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248,698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(112,559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1232" w:type="dxa"/>
            <w:tcBorders/>
            <w:shd w:fill="CCEEFF" w:val="clear"/>
            <w:vAlign w:val="bottom"/>
          </w:tcPr>
          <w:p>
            <w:pPr>
              <w:pStyle w:val="TableContents"/>
              <w:bidi w:val="0"/>
              <w:spacing w:before="0" w:after="283"/>
              <w:jc w:val="right"/>
              <w:rPr/>
            </w:pPr>
            <w:r>
              <w:rPr/>
              <w:t>189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136,327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943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137,271</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15"/>
              </w:rPr>
            </w:pPr>
            <w:r>
              <w:rPr>
                <w:rFonts w:ascii="Times New Roman" w:hAnsi="Times New Roman"/>
                <w:sz w:val="15"/>
              </w:rPr>
              <w:t>Exercise of Common Stock Options for Cash</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10,631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Issuance of Series E-1 Convertible Preferred Stock, Net</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982,604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73,561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73,561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73,561</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15"/>
              </w:rPr>
            </w:pPr>
            <w:r>
              <w:rPr>
                <w:rFonts w:ascii="Times New Roman" w:hAnsi="Times New Roman"/>
                <w:sz w:val="15"/>
              </w:rPr>
              <w:t>Stock-Based Compensation</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2,539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2,539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1,754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4,293</w:t>
            </w:r>
          </w:p>
        </w:tc>
        <w:tc>
          <w:tcPr>
            <w:tcW w:w="15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Dividends to Noncontrolling Interests</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(208</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(1,216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(1,216</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15"/>
              </w:rPr>
            </w:pPr>
            <w:r>
              <w:rPr>
                <w:rFonts w:ascii="Times New Roman" w:hAnsi="Times New Roman"/>
                <w:sz w:val="15"/>
              </w:rPr>
              <w:t>Noncontrolling Interest Repurchases and Adjustments</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(2,521</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(639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1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(639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(1,050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(1,689</w:t>
            </w:r>
          </w:p>
        </w:tc>
        <w:tc>
          <w:tcPr>
            <w:tcW w:w="15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Net (Loss) Income</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358</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(83,297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(83,297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(907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(84,204</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15"/>
              </w:rPr>
            </w:pPr>
            <w:r>
              <w:rPr>
                <w:rFonts w:ascii="Times New Roman" w:hAnsi="Times New Roman"/>
                <w:sz w:val="15"/>
              </w:rPr>
              <w:t>Other Comprehensive Loss</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sz w:val="4"/>
                <w:szCs w:val="4"/>
              </w:rPr>
            </w:pPr>
            <w:r>
              <w:rPr>
                <w:sz w:val="4"/>
                <w:szCs w:val="4"/>
              </w:rPr>
            </w:r>
          </w:p>
        </w:tc>
        <w:tc>
          <w:tcPr>
            <w:tcW w:w="1270"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1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(348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(348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(348</w:t>
            </w:r>
          </w:p>
        </w:tc>
        <w:tc>
          <w:tcPr>
            <w:tcW w:w="155"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b/>
                <w:sz w:val="15"/>
              </w:rPr>
            </w:pPr>
            <w:r>
              <w:rPr>
                <w:rFonts w:ascii="Times New Roman" w:hAnsi="Times New Roman"/>
                <w:b/>
                <w:sz w:val="15"/>
              </w:rPr>
              <w:t>Balances, December 31, 2024</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4,194</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7,740,549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1,162,180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324,200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(195,856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1232" w:type="dxa"/>
            <w:tcBorders/>
            <w:shd w:fill="CCEEFF" w:val="clear"/>
            <w:vAlign w:val="bottom"/>
          </w:tcPr>
          <w:p>
            <w:pPr>
              <w:pStyle w:val="TableContents"/>
              <w:bidi w:val="0"/>
              <w:spacing w:before="0" w:after="283"/>
              <w:jc w:val="right"/>
              <w:rPr/>
            </w:pPr>
            <w:r>
              <w:rPr/>
              <w:t>(159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128,184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(476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127,708</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15"/>
              </w:rPr>
            </w:pPr>
            <w:r>
              <w:rPr>
                <w:rFonts w:ascii="Times New Roman" w:hAnsi="Times New Roman"/>
                <w:sz w:val="15"/>
              </w:rPr>
              <w:t>Exercise of Common Stock Options for Cash</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12,249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47</w:t>
            </w:r>
          </w:p>
        </w:tc>
        <w:tc>
          <w:tcPr>
            <w:tcW w:w="15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Issuance of Series E-1 Convertible Preferred Stock, Net</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17,686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1,350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1,350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1,350</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15"/>
              </w:rPr>
            </w:pPr>
            <w:r>
              <w:rPr>
                <w:rFonts w:ascii="Times New Roman" w:hAnsi="Times New Roman"/>
                <w:sz w:val="15"/>
              </w:rPr>
              <w:t>Stock-Based Compensation</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2,347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2,347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1,471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3,818</w:t>
            </w:r>
          </w:p>
        </w:tc>
        <w:tc>
          <w:tcPr>
            <w:tcW w:w="15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Dividends to</w:t>
            </w:r>
          </w:p>
          <w:p>
            <w:pPr>
              <w:pStyle w:val="TableContents"/>
              <w:bidi w:val="0"/>
              <w:spacing w:before="0" w:after="20"/>
              <w:jc w:val="left"/>
              <w:rPr>
                <w:rFonts w:ascii="Times New Roman" w:hAnsi="Times New Roman"/>
                <w:sz w:val="15"/>
              </w:rPr>
            </w:pPr>
            <w:r>
              <w:rPr>
                <w:rFonts w:ascii="Times New Roman" w:hAnsi="Times New Roman"/>
                <w:sz w:val="15"/>
              </w:rPr>
              <w:t>Noncontrolling Interests</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(93</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(1,191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(1,191</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15"/>
              </w:rPr>
            </w:pPr>
            <w:r>
              <w:rPr>
                <w:rFonts w:ascii="Times New Roman" w:hAnsi="Times New Roman"/>
                <w:sz w:val="15"/>
              </w:rPr>
              <w:t>Noncontrolling Interest Repurchases and Adjustments</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(1,715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(1,608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(1,707</w:t>
            </w:r>
          </w:p>
        </w:tc>
        <w:tc>
          <w:tcPr>
            <w:tcW w:w="15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15"/>
              </w:rPr>
            </w:pPr>
            <w:r>
              <w:rPr>
                <w:rFonts w:ascii="Times New Roman" w:hAnsi="Times New Roman"/>
                <w:sz w:val="15"/>
              </w:rPr>
              <w:t>Net (Loss) Income</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65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(65,919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(65,919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(504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(66,423</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15"/>
              </w:rPr>
            </w:pPr>
            <w:r>
              <w:rPr>
                <w:rFonts w:ascii="Times New Roman" w:hAnsi="Times New Roman"/>
                <w:sz w:val="15"/>
              </w:rPr>
              <w:t>Other Comprehensive Income</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b/>
                <w:sz w:val="15"/>
              </w:rPr>
            </w:pPr>
            <w:r>
              <w:rPr>
                <w:rFonts w:ascii="Times New Roman" w:hAnsi="Times New Roman"/>
                <w:b/>
                <w:sz w:val="15"/>
              </w:rPr>
              <w:t>Balances, December 31, 2025</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2,451</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7,758,235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1,174,429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327,843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(261,775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1232" w:type="dxa"/>
            <w:tcBorders/>
            <w:shd w:fill="CCEEFF" w:val="clear"/>
            <w:vAlign w:val="bottom"/>
          </w:tcPr>
          <w:p>
            <w:pPr>
              <w:pStyle w:val="TableContents"/>
              <w:bidi w:val="0"/>
              <w:spacing w:before="0" w:after="283"/>
              <w:jc w:val="right"/>
              <w:rPr/>
            </w:pPr>
            <w:r>
              <w:rPr/>
              <w:t>(128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65,941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(2,308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63,633</w:t>
            </w:r>
          </w:p>
        </w:tc>
        <w:tc>
          <w:tcPr>
            <w:tcW w:w="155" w:type="dxa"/>
            <w:tcBorders/>
            <w:shd w:fill="CCEEFF" w:val="clear"/>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51" w:name="fin58823_6"/>
      <w:bookmarkEnd w:id="51"/>
      <w:r>
        <w:rPr>
          <w:rFonts w:ascii="Times New Roman" w:hAnsi="Times New Roman"/>
          <w:sz w:val="20"/>
        </w:rPr>
        <w:t xml:space="preserve">CONSOLIDATED STATEMENTS OF CASH FLOWS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center"/>
        <w:rPr>
          <w:rFonts w:ascii="Times New Roman" w:hAnsi="Times New Roman"/>
          <w:i/>
          <w:sz w:val="20"/>
        </w:rPr>
      </w:pPr>
      <w:r>
        <w:rPr>
          <w:rFonts w:ascii="Times New Roman" w:hAnsi="Times New Roman"/>
          <w:i/>
          <w:sz w:val="20"/>
        </w:rPr>
        <w:t xml:space="preserve">(dollars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37"/>
        <w:gridCol w:w="427"/>
        <w:gridCol w:w="221"/>
        <w:gridCol w:w="1203"/>
        <w:gridCol w:w="155"/>
        <w:gridCol w:w="380"/>
        <w:gridCol w:w="221"/>
        <w:gridCol w:w="1203"/>
        <w:gridCol w:w="158"/>
      </w:tblGrid>
      <w:tr>
        <w:trPr/>
        <w:tc>
          <w:tcPr>
            <w:tcW w:w="6237"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37"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Cash Flows From Operating Activities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03" w:type="dxa"/>
            <w:tcBorders/>
            <w:vAlign w:val="bottom"/>
          </w:tcPr>
          <w:p>
            <w:pPr>
              <w:pStyle w:val="TableContents"/>
              <w:bidi w:val="0"/>
              <w:spacing w:before="0" w:after="283"/>
              <w:jc w:val="right"/>
              <w:rPr/>
            </w:pPr>
            <w:r>
              <w:rPr/>
              <w:t>(66,358</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03" w:type="dxa"/>
            <w:tcBorders/>
            <w:vAlign w:val="bottom"/>
          </w:tcPr>
          <w:p>
            <w:pPr>
              <w:pStyle w:val="TableContents"/>
              <w:bidi w:val="0"/>
              <w:spacing w:before="0" w:after="283"/>
              <w:jc w:val="right"/>
              <w:rPr/>
            </w:pPr>
            <w:r>
              <w:rPr/>
              <w:t>(83,846</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Adjustments to Reconcile Net Loss to Net Cash Used in Operating Activities: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23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11,580</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11,305</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Stock-Based Compensation Expense</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3,818</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4,293</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2,501</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2,322</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19,412</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15,645</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20"/>
              </w:rPr>
            </w:pPr>
            <w:r>
              <w:rPr>
                <w:rFonts w:ascii="Times New Roman" w:hAnsi="Times New Roman"/>
                <w:sz w:val="20"/>
              </w:rPr>
              <w:t>Loss/(Gain) on Disposition of Assets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(5,418</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2,661</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4,642</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(3,956</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(702</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 Net of Payments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(209</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(2,141</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Changes in Operating Assets and Liabilities, Net of Acquisitions: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(1,877</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1,053</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(918</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5,992</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(609</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(2,007</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270</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1,229</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(906</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1,780</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b/>
                <w:sz w:val="18"/>
              </w:rPr>
            </w:pPr>
            <w:r>
              <w:rPr>
                <w:rFonts w:ascii="Times New Roman" w:hAnsi="Times New Roman"/>
                <w:b/>
                <w:sz w:val="18"/>
              </w:rPr>
              <w:t>Net Cash Used in Operating Activities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b/>
              </w:rPr>
            </w:pPr>
            <w:r>
              <w:rPr>
                <w:b/>
              </w:rPr>
              <w:t>(38,029</w:t>
            </w:r>
          </w:p>
        </w:tc>
        <w:tc>
          <w:tcPr>
            <w:tcW w:w="155" w:type="dxa"/>
            <w:tcBorders/>
            <w:vAlign w:val="bottom"/>
          </w:tcPr>
          <w:p>
            <w:pPr>
              <w:pStyle w:val="TableContents"/>
              <w:bidi w:val="0"/>
              <w:spacing w:before="0" w:after="283"/>
              <w:jc w:val="left"/>
              <w:rPr>
                <w:b/>
              </w:rPr>
            </w:pPr>
            <w:r>
              <w:rPr>
                <w:b/>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b/>
              </w:rPr>
            </w:pPr>
            <w:r>
              <w:rPr>
                <w:b/>
              </w:rPr>
              <w:t>(42,414</w:t>
            </w:r>
          </w:p>
        </w:tc>
        <w:tc>
          <w:tcPr>
            <w:tcW w:w="158" w:type="dxa"/>
            <w:tcBorders/>
            <w:vAlign w:val="bottom"/>
          </w:tcPr>
          <w:p>
            <w:pPr>
              <w:pStyle w:val="TableContents"/>
              <w:bidi w:val="0"/>
              <w:spacing w:before="0" w:after="283"/>
              <w:jc w:val="left"/>
              <w:rPr>
                <w:b/>
              </w:rPr>
            </w:pPr>
            <w:r>
              <w:rPr>
                <w:b/>
              </w:rPr>
              <w:t>) </w:t>
            </w:r>
          </w:p>
        </w:tc>
      </w:tr>
      <w:tr>
        <w:trPr/>
        <w:tc>
          <w:tcPr>
            <w:tcW w:w="623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Cash Flows From Investing Activities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Capital Expenditures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(4,097</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(3,546</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Business Acquisitions, Net of Cash Received</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(81,497</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(26,426</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Proceeds from Sale Leaseback, Net</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31,013</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Additions to Internally Developed Software</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(2,764</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(3,409</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Other Investing Activities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(5,225</w:t>
            </w:r>
          </w:p>
        </w:tc>
        <w:tc>
          <w:tcPr>
            <w:tcW w:w="158" w:type="dxa"/>
            <w:tcBorders/>
            <w:vAlign w:val="bottom"/>
          </w:tcPr>
          <w:p>
            <w:pPr>
              <w:pStyle w:val="TableContents"/>
              <w:bidi w:val="0"/>
              <w:spacing w:before="0" w:after="283"/>
              <w:jc w:val="left"/>
              <w:rPr/>
            </w:pPr>
            <w:r>
              <w:rPr/>
              <w:t>) </w:t>
            </w:r>
          </w:p>
        </w:tc>
      </w:tr>
      <w:tr>
        <w:trPr/>
        <w:tc>
          <w:tcPr>
            <w:tcW w:w="6237"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Cash Used in Investing Activities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b/>
              </w:rPr>
            </w:pPr>
            <w:r>
              <w:rPr>
                <w:b/>
              </w:rPr>
              <w:t>(57,345</w:t>
            </w:r>
          </w:p>
        </w:tc>
        <w:tc>
          <w:tcPr>
            <w:tcW w:w="155" w:type="dxa"/>
            <w:tcBorders/>
            <w:shd w:fill="CCEEFF" w:val="clear"/>
            <w:vAlign w:val="bottom"/>
          </w:tcPr>
          <w:p>
            <w:pPr>
              <w:pStyle w:val="TableContents"/>
              <w:bidi w:val="0"/>
              <w:spacing w:before="0" w:after="283"/>
              <w:jc w:val="left"/>
              <w:rPr>
                <w:b/>
              </w:rPr>
            </w:pPr>
            <w:r>
              <w:rPr>
                <w:b/>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b/>
              </w:rPr>
            </w:pPr>
            <w:r>
              <w:rPr>
                <w:b/>
              </w:rPr>
              <w:t>(38,606</w:t>
            </w:r>
          </w:p>
        </w:tc>
        <w:tc>
          <w:tcPr>
            <w:tcW w:w="158" w:type="dxa"/>
            <w:tcBorders/>
            <w:shd w:fill="CCEEFF" w:val="clear"/>
            <w:vAlign w:val="bottom"/>
          </w:tcPr>
          <w:p>
            <w:pPr>
              <w:pStyle w:val="TableContents"/>
              <w:bidi w:val="0"/>
              <w:spacing w:before="0" w:after="283"/>
              <w:jc w:val="left"/>
              <w:rPr>
                <w:b/>
              </w:rPr>
            </w:pPr>
            <w:r>
              <w:rPr>
                <w:b/>
              </w:rPr>
              <w:t>) </w:t>
            </w:r>
          </w:p>
        </w:tc>
      </w:tr>
      <w:tr>
        <w:trPr/>
        <w:tc>
          <w:tcPr>
            <w:tcW w:w="6237" w:type="dxa"/>
            <w:tcBorders/>
          </w:tcPr>
          <w:p>
            <w:pPr>
              <w:pStyle w:val="TableContents"/>
              <w:bidi w:val="0"/>
              <w:spacing w:before="0" w:after="0"/>
              <w:jc w:val="left"/>
              <w:rPr>
                <w:rFonts w:ascii="Times New Roman" w:hAnsi="Times New Roman"/>
                <w:b/>
                <w:sz w:val="18"/>
              </w:rPr>
            </w:pPr>
            <w:r>
              <w:rPr>
                <w:rFonts w:ascii="Times New Roman" w:hAnsi="Times New Roman"/>
                <w:b/>
                <w:sz w:val="18"/>
              </w:rPr>
              <w:t>Cash Flows From Financing Activities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Borrowings Under Credit Facilities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28,188</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15,397</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Repayments of Credit Facilities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(27,036</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Borrowings Under Other Debt Instruments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78,507</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768</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Repayments of Other Debt Instruments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(3,768</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(529</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Issuance of SAFE Notes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3,000</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Proceeds from Issuance of Preferred Stock, Net</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1,350</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73,561</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Dividends to Noncontrolling Interests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(1,284</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(1,424</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Acquisitions of Noncontrolling Interests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(3,004</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(3,361</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Payments of Debt Issuance Costs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(1,437</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Contingent Consideration Payments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(525</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(1,527</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Financing Activities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47</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40</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b/>
                <w:sz w:val="18"/>
              </w:rPr>
            </w:pPr>
            <w:r>
              <w:rPr>
                <w:rFonts w:ascii="Times New Roman" w:hAnsi="Times New Roman"/>
                <w:b/>
                <w:sz w:val="18"/>
              </w:rPr>
              <w:t>Net Cash Provided by Financing Activities</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b/>
              </w:rPr>
            </w:pPr>
            <w:r>
              <w:rPr>
                <w:b/>
              </w:rPr>
              <w:t>74,038</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b/>
              </w:rPr>
            </w:pPr>
            <w:r>
              <w:rPr>
                <w:b/>
              </w:rPr>
              <w:t>82,926</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Effect of Exchange Rate Changes on Cash and Cash Equivalents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(76</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(348</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b/>
                <w:sz w:val="18"/>
              </w:rPr>
            </w:pPr>
            <w:r>
              <w:rPr>
                <w:rFonts w:ascii="Times New Roman" w:hAnsi="Times New Roman"/>
                <w:b/>
                <w:sz w:val="18"/>
              </w:rPr>
              <w:t>Net Increase (Decrease) in Cash, Cash Equivalents and Restricted Cash</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b/>
              </w:rPr>
            </w:pPr>
            <w:r>
              <w:rPr>
                <w:b/>
              </w:rPr>
              <w:t>(21,412</w:t>
            </w:r>
          </w:p>
        </w:tc>
        <w:tc>
          <w:tcPr>
            <w:tcW w:w="155" w:type="dxa"/>
            <w:tcBorders/>
            <w:vAlign w:val="bottom"/>
          </w:tcPr>
          <w:p>
            <w:pPr>
              <w:pStyle w:val="TableContents"/>
              <w:bidi w:val="0"/>
              <w:spacing w:before="0" w:after="283"/>
              <w:jc w:val="left"/>
              <w:rPr>
                <w:b/>
              </w:rPr>
            </w:pPr>
            <w:r>
              <w:rPr>
                <w:b/>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b/>
              </w:rPr>
            </w:pPr>
            <w:r>
              <w:rPr>
                <w:b/>
              </w:rPr>
              <w:t>1,558</w:t>
            </w:r>
          </w:p>
        </w:tc>
        <w:tc>
          <w:tcPr>
            <w:tcW w:w="158" w:type="dxa"/>
            <w:tcBorders/>
            <w:vAlign w:val="bottom"/>
          </w:tcPr>
          <w:p>
            <w:pPr>
              <w:pStyle w:val="TableContents"/>
              <w:bidi w:val="0"/>
              <w:spacing w:before="0" w:after="283"/>
              <w:jc w:val="left"/>
              <w:rPr/>
            </w:pPr>
            <w:r>
              <w:rPr/>
              <w:t> </w:t>
            </w:r>
          </w:p>
        </w:tc>
      </w:tr>
      <w:tr>
        <w:trPr/>
        <w:tc>
          <w:tcPr>
            <w:tcW w:w="6237"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Cash Equivalents and Restricted Cash at Beginning of Period</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75,509</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73,951</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Cash, Cash Equivalents and Restricted Cash at End of Period</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b/>
              </w:rPr>
            </w:pPr>
            <w:r>
              <w:rPr>
                <w:b/>
              </w:rPr>
              <w:t>54,097</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b/>
              </w:rPr>
            </w:pPr>
            <w:r>
              <w:rPr>
                <w:b/>
              </w:rPr>
              <w:t>75,509</w:t>
            </w:r>
          </w:p>
        </w:tc>
        <w:tc>
          <w:tcPr>
            <w:tcW w:w="158" w:type="dxa"/>
            <w:tcBorders/>
            <w:vAlign w:val="bottom"/>
          </w:tcPr>
          <w:p>
            <w:pPr>
              <w:pStyle w:val="TableContents"/>
              <w:bidi w:val="0"/>
              <w:spacing w:before="0" w:after="283"/>
              <w:jc w:val="left"/>
              <w:rPr/>
            </w:pPr>
            <w:r>
              <w:rPr/>
              <w:t> </w:t>
            </w:r>
          </w:p>
        </w:tc>
      </w:tr>
      <w:tr>
        <w:trPr/>
        <w:tc>
          <w:tcPr>
            <w:tcW w:w="6237"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Supplemental Disclosures of Cash Flow Information:</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237" w:type="dxa"/>
            <w:tcBorders/>
          </w:tcPr>
          <w:p>
            <w:pPr>
              <w:pStyle w:val="TableContents"/>
              <w:bidi w:val="0"/>
              <w:spacing w:before="0" w:after="0"/>
              <w:jc w:val="left"/>
              <w:rPr>
                <w:rFonts w:ascii="Times New Roman" w:hAnsi="Times New Roman"/>
                <w:sz w:val="18"/>
              </w:rPr>
            </w:pPr>
            <w:r>
              <w:rPr>
                <w:rFonts w:ascii="Times New Roman" w:hAnsi="Times New Roman"/>
                <w:sz w:val="18"/>
              </w:rPr>
              <w:t>Interest Paid</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03" w:type="dxa"/>
            <w:tcBorders/>
            <w:vAlign w:val="bottom"/>
          </w:tcPr>
          <w:p>
            <w:pPr>
              <w:pStyle w:val="TableContents"/>
              <w:bidi w:val="0"/>
              <w:spacing w:before="0" w:after="283"/>
              <w:jc w:val="right"/>
              <w:rPr/>
            </w:pPr>
            <w:r>
              <w:rPr/>
              <w:t>29,078</w:t>
            </w:r>
          </w:p>
        </w:tc>
        <w:tc>
          <w:tcPr>
            <w:tcW w:w="15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03" w:type="dxa"/>
            <w:tcBorders/>
            <w:vAlign w:val="bottom"/>
          </w:tcPr>
          <w:p>
            <w:pPr>
              <w:pStyle w:val="TableContents"/>
              <w:bidi w:val="0"/>
              <w:spacing w:before="0" w:after="283"/>
              <w:jc w:val="right"/>
              <w:rPr/>
            </w:pPr>
            <w:r>
              <w:rPr/>
              <w:t> </w:t>
            </w:r>
            <w:r>
              <w:rPr/>
              <w:t>26,627</w:t>
            </w:r>
          </w:p>
        </w:tc>
        <w:tc>
          <w:tcPr>
            <w:tcW w:w="158" w:type="dxa"/>
            <w:tcBorders/>
            <w:vAlign w:val="bottom"/>
          </w:tcPr>
          <w:p>
            <w:pPr>
              <w:pStyle w:val="TableContents"/>
              <w:bidi w:val="0"/>
              <w:spacing w:before="0" w:after="283"/>
              <w:jc w:val="left"/>
              <w:rPr/>
            </w:pPr>
            <w:r>
              <w:rPr/>
              <w:t> </w:t>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Income Taxes Paid</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3" w:type="dxa"/>
            <w:tcBorders/>
            <w:shd w:fill="CCEEFF" w:val="clear"/>
            <w:vAlign w:val="bottom"/>
          </w:tcPr>
          <w:p>
            <w:pPr>
              <w:pStyle w:val="TableContents"/>
              <w:bidi w:val="0"/>
              <w:spacing w:before="0" w:after="283"/>
              <w:jc w:val="right"/>
              <w:rPr/>
            </w:pPr>
            <w:r>
              <w:rPr/>
              <w:t>611</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3" w:type="dxa"/>
            <w:tcBorders/>
            <w:shd w:fill="CCEEFF" w:val="clear"/>
            <w:vAlign w:val="bottom"/>
          </w:tcPr>
          <w:p>
            <w:pPr>
              <w:pStyle w:val="TableContents"/>
              <w:bidi w:val="0"/>
              <w:spacing w:before="0" w:after="283"/>
              <w:jc w:val="right"/>
              <w:rPr/>
            </w:pPr>
            <w:r>
              <w:rPr/>
              <w:t>688</w:t>
            </w:r>
          </w:p>
        </w:tc>
        <w:tc>
          <w:tcPr>
            <w:tcW w:w="158" w:type="dxa"/>
            <w:tcBorders/>
            <w:shd w:fill="CCEEFF" w:val="clear"/>
            <w:vAlign w:val="bottom"/>
          </w:tcPr>
          <w:p>
            <w:pPr>
              <w:pStyle w:val="TableContents"/>
              <w:bidi w:val="0"/>
              <w:spacing w:before="0" w:after="283"/>
              <w:jc w:val="left"/>
              <w:rPr/>
            </w:pPr>
            <w:r>
              <w:rPr/>
              <w:t> </w:t>
            </w:r>
          </w:p>
        </w:tc>
      </w:tr>
      <w:tr>
        <w:trPr/>
        <w:tc>
          <w:tcPr>
            <w:tcW w:w="6237" w:type="dxa"/>
            <w:tcBorders/>
          </w:tcPr>
          <w:p>
            <w:pPr>
              <w:pStyle w:val="TableContents"/>
              <w:bidi w:val="0"/>
              <w:spacing w:before="0" w:after="0"/>
              <w:jc w:val="left"/>
              <w:rPr>
                <w:rFonts w:ascii="Times New Roman" w:hAnsi="Times New Roman"/>
                <w:b/>
                <w:sz w:val="18"/>
              </w:rPr>
            </w:pPr>
            <w:r>
              <w:rPr>
                <w:rFonts w:ascii="Times New Roman" w:hAnsi="Times New Roman"/>
                <w:b/>
                <w:sz w:val="18"/>
              </w:rPr>
              <w:t>Supplemental Non-Cash Activity:</w:t>
            </w:r>
          </w:p>
        </w:tc>
        <w:tc>
          <w:tcPr>
            <w:tcW w:w="42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2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Debt Assumed to Acquire Operating Subsidiaries</w:t>
            </w:r>
          </w:p>
        </w:tc>
        <w:tc>
          <w:tcPr>
            <w:tcW w:w="42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3" w:type="dxa"/>
            <w:tcBorders/>
            <w:shd w:fill="CCEEFF" w:val="clear"/>
            <w:vAlign w:val="bottom"/>
          </w:tcPr>
          <w:p>
            <w:pPr>
              <w:pStyle w:val="TableContents"/>
              <w:bidi w:val="0"/>
              <w:spacing w:before="0" w:after="283"/>
              <w:jc w:val="right"/>
              <w:rPr/>
            </w:pPr>
            <w:r>
              <w:rPr/>
              <w:t>33,584</w:t>
            </w:r>
          </w:p>
        </w:tc>
        <w:tc>
          <w:tcPr>
            <w:tcW w:w="15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3" w:type="dxa"/>
            <w:tcBorders/>
            <w:shd w:fill="CCEEFF" w:val="clear"/>
            <w:vAlign w:val="bottom"/>
          </w:tcPr>
          <w:p>
            <w:pPr>
              <w:pStyle w:val="TableContents"/>
              <w:bidi w:val="0"/>
              <w:spacing w:before="0" w:after="283"/>
              <w:jc w:val="right"/>
              <w:rPr/>
            </w:pPr>
            <w:r>
              <w:rPr/>
              <w:t>5,350</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bookmarkStart w:id="52" w:name="fin58823_7"/>
      <w:bookmarkEnd w:id="52"/>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240" w:after="0"/>
        <w:jc w:val="left"/>
        <w:rPr>
          <w:rFonts w:ascii="Times New Roman" w:hAnsi="Times New Roman"/>
          <w:sz w:val="20"/>
        </w:rPr>
      </w:pPr>
      <w:r>
        <w:rPr>
          <w:rFonts w:ascii="Times New Roman" w:hAnsi="Times New Roman"/>
          <w:b/>
          <w:sz w:val="20"/>
        </w:rPr>
        <w:t xml:space="preserve">NOTE 1 </w:t>
      </w:r>
      <w:r>
        <w:rPr>
          <w:rFonts w:ascii="Times New Roman" w:hAnsi="Times New Roman"/>
          <w:sz w:val="20"/>
        </w:rPr>
        <w:t xml:space="preserve">– </w:t>
      </w:r>
      <w:r>
        <w:rPr>
          <w:rFonts w:ascii="Times New Roman" w:hAnsi="Times New Roman"/>
          <w:b/>
          <w:sz w:val="20"/>
        </w:rPr>
        <w:t>Organization and Description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Teamshares Inc. (“Teamshares”) was founded and incorporated in June 2019 in the state of Delaware. Teamshares is primarily engaged in the acquisition of small businesses from retiring owners and providing the acquired businesses (“Operating Subsidiary(ies)”) with administration of an employee-ownership program, education, financial products, insurance products, software, and other services.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respectively, Teamshares had 92 and 93 active Operating Subsidiaries. As of December 31, 2025, 89 Operating Subsidiaries are located in the United States, and 3 Operating Subsidiaries are located outside of the United States. Operating Subsidiaries are engaged in a variety of industries, including both product and service-related sales. Operating Subsidiaries are charged a monthly fee for the services provided by Teamshares. All of the Operating Subsidiaries are consolidated under Teamshares, and therefore the fee is eliminated in consolidation. Teamshares administers an employee ownership program pursuant to which Operating Subsidiary employees (“Employee Owners”) may earn ownership interest in their respective Operating Subsidiary through continued service. Cash flows generated from Operating Subsidiaries are primarily utilized to make distributions to Operating Subsidiary stockholders, or to repurchase Operating Subsidiary stock that is owned by Teamshares. The repurchased stock is canceled, thereby increasing the ownership percentage of the Employee Owners. </w:t>
      </w:r>
    </w:p>
    <w:p>
      <w:pPr>
        <w:pStyle w:val="TextBody"/>
        <w:bidi w:val="0"/>
        <w:spacing w:before="360" w:after="0"/>
        <w:jc w:val="left"/>
        <w:rPr>
          <w:rFonts w:ascii="Times New Roman" w:hAnsi="Times New Roman"/>
          <w:b/>
          <w:sz w:val="20"/>
        </w:rPr>
      </w:pPr>
      <w:r>
        <w:rPr>
          <w:rFonts w:ascii="Times New Roman" w:hAnsi="Times New Roman"/>
          <w:b/>
          <w:sz w:val="20"/>
        </w:rPr>
        <w:t xml:space="preserve">Merger Agreement with Live Oak Acquisition Corp. V </w:t>
      </w:r>
    </w:p>
    <w:p>
      <w:pPr>
        <w:pStyle w:val="TextBody"/>
        <w:bidi w:val="0"/>
        <w:spacing w:before="120" w:after="0"/>
        <w:jc w:val="left"/>
        <w:rPr>
          <w:rFonts w:ascii="Times New Roman" w:hAnsi="Times New Roman"/>
          <w:sz w:val="20"/>
        </w:rPr>
      </w:pPr>
      <w:r>
        <w:rPr>
          <w:rFonts w:ascii="Times New Roman" w:hAnsi="Times New Roman"/>
          <w:sz w:val="20"/>
        </w:rPr>
        <w:t xml:space="preserve">On November 14, 2025, the Company entered into an agreement and plan of merger (the “Merger Agreement”) with Live Oak Acquisition Corp. V (“Live Oak”), Live Oak Sponsor V LLC, Catalyst Sub Inc. (“Merger Sub”), and Catalyst Sub 2 LLC (“Merger Sub II”). Live Oak is a publicly traded special purpose acquisition company (“SPAC”).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of the proposed business combination (the “Closing”), (i) Merger Sub will merge with and into Teamshares, with Teamshares surviving as a wholly-owned subsidiary of Live Oak, and (ii) immediately thereafter, the surviving corporation will merge with and into Merger Sub II. Upon consummation of the mergers, all outstanding Teamshares capital stock will be cancelled and converted into the right to receive a pro rata share of the merger consideration, and all in-the-money Teamshares options will be converted into options to purchase Live Oak common stock. All other convertible securities outstanding and not exercised or converted prior to Closing will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for total merger consideration valued at $525.0 million plus the value of any interim period financing converted into Teamshares equity prior to the Closing (the “Merger Consideration”). The Merger Consideration will be paid in shares of Live Oak common stock valued at $10.00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transactions contemplated by the Merger Agreement (collectively, the “SPAC Merger”) are expected to be accounted for as a reverse recapitalization. Under this method of accounting, although Live Oak will acquire all of the outstanding equity interests of Teamshares in the SPAC Merger, Live Oak will be treated as the acquired company and Teamshares will be treated as the accounting acquirer for financial statement reporting purposes. Accordingly, the SPAC Merger will be treated as the equivalent of Teamshares issuing stock for the net assets of Live Oak, accompanied by a recapitalization. The net assets of Live Oak will be stated at historical cost, with no goodwill or other intangible assets recorded.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existing Teamshares securityholders may receive up to 6.0 million additional shares of Live Oak common stock (the “Earnout Shares”) contingent upon the achievement of specified share-price targets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during the five-year earnout period. One-third of the Earnout Shares vest upon the volume-weighted average price of Live Oak common stock equaling or exceeding $12.00, $15.00, and $20.00, respectively, for 20 out of 30 consecutive trading days. </w:t>
      </w:r>
    </w:p>
    <w:p>
      <w:pPr>
        <w:pStyle w:val="TextBody"/>
        <w:bidi w:val="0"/>
        <w:spacing w:before="240" w:after="0"/>
        <w:jc w:val="left"/>
        <w:rPr>
          <w:rFonts w:ascii="Times New Roman" w:hAnsi="Times New Roman"/>
          <w:sz w:val="20"/>
        </w:rPr>
      </w:pPr>
      <w:r>
        <w:rPr>
          <w:rFonts w:ascii="Times New Roman" w:hAnsi="Times New Roman"/>
          <w:sz w:val="20"/>
        </w:rPr>
        <w:t xml:space="preserve">The boards of both Teamshares and Live Oak have each unanimously approved the SPAC Merger. The closing of the SPAC Merger is subject to, among other things, the approval by Live Oak shareholders of the SPAC Merger and the satisfaction of other customary closing conditions as set forth in the definitive agreement, including that the U.S. Securities and Exchange Commission completes its review of the registration statement on Form S-4 (which will include a proxy statement of Live Oak and a prospectus), the receipt of certain regulatory approvals and approval by the relevant stock exchange to list the securities of the combined company (the “Combined Company”). At closing, the Combined Company will operate as “Teamshares Inc.” and is expected to be listed on Nasdaq under ticker “TMS”.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execution of the Merger Agreement, Live Oak entered into subscription agreements with certain investors (the “Initial PIPE Investors”) pursuant to which, and on the terms and subject to the conditions of which, such Initial PIPE Investors have agreed to subscribe for and purchase from Live Oak 13,750,000 common shares of the Combined Company in exchange for an aggregate purchase price of approximately $126.5 million to be consummated substantially concurrently with the closing of the SPAC Merger. Consummation of this investment is conditioned on the closing of the SPAC Merger and other customary closing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These consolidated financial statements have been prepared in accordance with US GAAP assuming the Company will continue as a going concern, which contemplates the realization of assets and satisfaction of liabilities in the normal course of business. For the years ended December 31, 2025 and 2024, the Company has incurred net losses and negative cash flows from operations due to corporate overhead and interest expense exceeding cash flows from Operating Subsidiaries and current conditions are expected to result in additional losses for the next 12 months after the financial statements are available to be issued. Furthermore, the Company has debt of $205.8 million that will mature within the next 12 months after the financial statements are available to be issued, and the Company’s existing liquidity and forecasted cash flows are not sufficient to repay this debt. These conditions may impact the Company’s ability to remain in compliance with certain debt covenants. See NOTE 9. As a result, substantial doubt exists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Management’s plans to alleviate these conditions include, but are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SPAC Merger – The Company plans to go public via a merger with the SPAC, which is expected to close in Q2’26 subject to regulatory approval and customary closing conditions. Upon close, the Company expects to receive $126.5 million from the PIPE Investment plus up to $230 million of additional proceeds currently held in trust at Live Oak depending on redemptions (in each case reduced by fees). The Company plans to utilize these proceeds to fund acquisitions and repay certain indebtedness, which is expected to significantly improve cash flows from operations. The closing of the SPAC merger was not incorporated into the Company’s analysis regarding its ability to continue as a going concern primarily due to regulatory approvals that were deemed outside of its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Refinance Existing Indebtedness – The Company intends to refinance certain of its indebtedness, including the i80 Credit Facility that matures in December 2026. The Company believes the completion of the SPAC merger and improvement in liquidity will increase the likelihood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refinancing its existing indebtedness. However, there can be no assurance the Company will be successful in obtaining such refinancing on acceptable terms, or at all.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management is pursuing these plans, there can be no assurance they will be successfully implemented or that they will be able to mitigate the substantial doubt regarding its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do not include any adjustments that might result from the outcome of this uncertainty, such as adjustments relating to the recoverability and classification of recorded asset amounts or the amounts and classification of liabilities that might be necessary should the Company be unable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The inclusion of a going concern qualification or explanatory paragraph that indicates substantial doubt exists about the Company’s ability to continue as a going concern would result in a breach of a covenant within both the i80 Facility and the HBC Credit Facility. In March 2026, the Company obtained a limited waiver from the lenders of both the i80 Facility and the HBC Credit Facility that waive any covenant breach or event of default that would otherwise arise solely as a result of the auditor’s report delivered in connection with the Company’s 2025 audited financial statements containing a qualification, explanatory paragraph or similar language relating to substantial doubt about the Company’s ability to continue as a going concern. As a result, the Company is not currently subject to debt acceleration and is in compliance with all other covenants in both the i80 Facility and HBC Credit Facility. Refer to NOTE 9 for additional disclosure of the Company’s debt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2 –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u w:val="single"/>
        </w:rPr>
        <w:t>Basis of Presentation</w:t>
      </w:r>
      <w:r>
        <w:rPr>
          <w:rFonts w:ascii="Times New Roman" w:hAnsi="Times New Roman"/>
          <w:sz w:val="20"/>
        </w:rPr>
        <w:t xml:space="preserve">: The accompanying Consolidated Financial Statements have been prepared in accordance with accounting principles generally accepted in the United States of America (“US GAAP”). </w:t>
      </w:r>
    </w:p>
    <w:p>
      <w:pPr>
        <w:pStyle w:val="TextBody"/>
        <w:bidi w:val="0"/>
        <w:spacing w:before="240" w:after="0"/>
        <w:jc w:val="left"/>
        <w:rPr>
          <w:rFonts w:ascii="Times New Roman" w:hAnsi="Times New Roman"/>
          <w:sz w:val="20"/>
        </w:rPr>
      </w:pPr>
      <w:r>
        <w:rPr>
          <w:rFonts w:ascii="Times New Roman" w:hAnsi="Times New Roman"/>
          <w:sz w:val="20"/>
          <w:u w:val="single"/>
        </w:rPr>
        <w:t>Principles of Consolidation</w:t>
      </w:r>
      <w:r>
        <w:rPr>
          <w:rFonts w:ascii="Times New Roman" w:hAnsi="Times New Roman"/>
          <w:sz w:val="20"/>
        </w:rPr>
        <w:t xml:space="preserve">: The Consolidated Financial Statements for the years ended December 31, 2025 and 2024 represent the consolidated financial position and results of operations of Teamshares Inc. and its subsidiaries (collectively, the “Company”). All intercompany balances and transactions have been eliminated in consolidation. Additionally, certain columns and rows within tables in this report may not sum due to rounding. </w:t>
      </w:r>
    </w:p>
    <w:p>
      <w:pPr>
        <w:pStyle w:val="TextBody"/>
        <w:bidi w:val="0"/>
        <w:spacing w:before="240" w:after="0"/>
        <w:jc w:val="left"/>
        <w:rPr>
          <w:rFonts w:ascii="Times New Roman" w:hAnsi="Times New Roman"/>
          <w:sz w:val="20"/>
        </w:rPr>
      </w:pPr>
      <w:r>
        <w:rPr>
          <w:rFonts w:ascii="Times New Roman" w:hAnsi="Times New Roman"/>
          <w:sz w:val="20"/>
        </w:rPr>
        <w:t xml:space="preserve">For consolidated entities where the Company owns less than 100% of the equity, the Company’s consolidated net loss is reduced by the portion attributable to the noncontrolling interest. The income or loss attributable to noncontrolling interest is calculated for each individual Operating Subsidiary during the consolidation process. In determining whether an entity is considered a controlled entity, the Company applies the variable interest entity (“VIE”) and voting interest entity (“VOE”) models, as applicable. Entities that do not qualify as a VIE are assessed for consolidation under the VOE model. Under the VOE model, the Company consolidates the entity if it determines that it has a controlling financial interest in the entity through its ownership of greater than 50% of the outstanding voting shares of the entity and that other equity holders do not have substantive voting, participating or liquidation rights. As of the years ended December 31, 2025 and 2024, respectively, all Operating Subsidiaries are consolidated under the VOE model. </w:t>
      </w:r>
    </w:p>
    <w:p>
      <w:pPr>
        <w:pStyle w:val="TextBody"/>
        <w:bidi w:val="0"/>
        <w:spacing w:before="240" w:after="0"/>
        <w:jc w:val="left"/>
        <w:rPr>
          <w:rFonts w:ascii="Times New Roman" w:hAnsi="Times New Roman"/>
          <w:sz w:val="20"/>
        </w:rPr>
      </w:pPr>
      <w:r>
        <w:rPr>
          <w:rFonts w:ascii="Times New Roman" w:hAnsi="Times New Roman"/>
          <w:sz w:val="20"/>
        </w:rPr>
        <w:t xml:space="preserve">Noncontrolling interests (“NCI”) presented in the Consolidated Financial Statements represent ownership interests in certain consolidated subsidiaries held by persons other than the Company, including Employee Owners and former owners of the Operating Subsidiaries. Ownership interests held by Employee Owners are classified as permanent equity within Noncontrolling Interests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NCI balance includes Rollover Shares issued to former owners that the Company could be required to redeem for cash at the option of the holder if the shares are held for a certain period of time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acquisition date. Due to this redemption feature, the Company classifies Rollover Shares as mezzanine equity within Redeemable Noncontrolling Interests in the Consolidated Balance Sheets. The carrying value of Rollover Shares is equal to their redemption value. The redemption options associated with all Rollover Shares included in the Consolidated Balance Sheets are exercisable by the option holder as of the year ended December 31, 2025. Rollover Shares are discussed in NOTE 4. </w:t>
      </w:r>
    </w:p>
    <w:p>
      <w:pPr>
        <w:pStyle w:val="TextBody"/>
        <w:bidi w:val="0"/>
        <w:spacing w:before="240" w:after="0"/>
        <w:jc w:val="left"/>
        <w:rPr>
          <w:rFonts w:ascii="Times New Roman" w:hAnsi="Times New Roman"/>
          <w:sz w:val="20"/>
        </w:rPr>
      </w:pPr>
      <w:r>
        <w:rPr>
          <w:rFonts w:ascii="Times New Roman" w:hAnsi="Times New Roman"/>
          <w:sz w:val="20"/>
          <w:u w:val="single"/>
        </w:rPr>
        <w:t>Use of Estimates</w:t>
      </w:r>
      <w:r>
        <w:rPr>
          <w:rFonts w:ascii="Times New Roman" w:hAnsi="Times New Roman"/>
          <w:sz w:val="20"/>
        </w:rPr>
        <w:t xml:space="preserve">: The preparation of the Consolidated Financial Statements in conformity with US GAAP requires management to make estimates and assumptions that affect the reported amounts of assets and liabilities and the reported amounts of revenues and expenses as of and during the reporting period, respectively. Actual results could differ from those estimates. </w:t>
      </w:r>
    </w:p>
    <w:p>
      <w:pPr>
        <w:pStyle w:val="TextBody"/>
        <w:bidi w:val="0"/>
        <w:spacing w:before="240" w:after="0"/>
        <w:jc w:val="left"/>
        <w:rPr>
          <w:rFonts w:ascii="Times New Roman" w:hAnsi="Times New Roman"/>
          <w:sz w:val="20"/>
        </w:rPr>
      </w:pPr>
      <w:r>
        <w:rPr>
          <w:rFonts w:ascii="Times New Roman" w:hAnsi="Times New Roman"/>
          <w:sz w:val="20"/>
          <w:u w:val="single"/>
        </w:rPr>
        <w:t>Cash, Cash Equivalents and Restricted Cash</w:t>
      </w:r>
      <w:r>
        <w:rPr>
          <w:rFonts w:ascii="Times New Roman" w:hAnsi="Times New Roman"/>
          <w:sz w:val="20"/>
        </w:rPr>
        <w:t xml:space="preserve">: The Company considers short-term cash investments and highly liquid debt instruments purchased with an original maturity of three months or less to be cash equivalents. The Company maintains deposit accounts at various financial institutions. The majority of the Company’s deposits are maintained with institutions that provide Federal Deposit Insurance Corporation (“FDIC”) coverage of $250,000 per depositor. At various times, these deposits may be in excess of the FDIC insurance limit.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terms of certain of the Company’s debt agreements, the Company is required to maintain certain deposit accounts. These deposits are classified as restricted cash. As of December 31, 2025, the Company had $11.7 million of restricted cash related to debt agreements, including $6.8 million in debt service reserve accounts pledged as collateral (“Collateral Accounts”), and $4.9 million in collection accounts to be used to pay current fees, costs, and interest related to the debt (“Collection Accounts”). Any cash held in Collection Accounts in excess of debt servicing costs is available for distribution to Teamshares. As of December 31, 2024, the Company had $22.7 million of restricted cash related to debt agreements, including $9.3 million in Collateral Accounts, and $13.4 million in Collection Accounts. Restricted cash related to debt agreements is included within Long-Term Assets in the Consolidated Balance Sheets, unless the associated debt obligation matures within the next twelve months, in which case the restricted cash balance is included within Current Assets in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terms of the Company’s self-insurance program, the Company is required to maintain separate deposit accounts. Distributions from these accounts require regulatory approval, and therefore the deposits are classified as restricted cash. As of December 31, 2025 and 2024, the Company had $2.1 million and $4.2 million, respectively, classified as restricted cash related to self-insurance programs. These deposits are included in Current Assets in the Consolidated Balance Sheets. </w:t>
      </w:r>
    </w:p>
    <w:p>
      <w:pPr>
        <w:pStyle w:val="TextBody"/>
        <w:bidi w:val="0"/>
        <w:spacing w:before="240" w:after="0"/>
        <w:jc w:val="left"/>
        <w:rPr>
          <w:rFonts w:ascii="Times New Roman" w:hAnsi="Times New Roman"/>
          <w:sz w:val="20"/>
        </w:rPr>
      </w:pPr>
      <w:r>
        <w:rPr>
          <w:rFonts w:ascii="Times New Roman" w:hAnsi="Times New Roman"/>
          <w:sz w:val="20"/>
          <w:u w:val="single"/>
        </w:rPr>
        <w:t>Accounts Receivable, Net</w:t>
      </w:r>
      <w:r>
        <w:rPr>
          <w:rFonts w:ascii="Times New Roman" w:hAnsi="Times New Roman"/>
          <w:sz w:val="20"/>
        </w:rPr>
        <w:t xml:space="preserve">: Accounts receivable consist of customer receivables associated with the sale of products and services by various Operating Subsidiaries. Accounts receivable generally do not bear interest and are typically due within 30-60 days. The Company’s primary exposure to credit losses is through customer receivables. </w:t>
      </w:r>
    </w:p>
    <w:p>
      <w:pPr>
        <w:pStyle w:val="TextBody"/>
        <w:bidi w:val="0"/>
        <w:spacing w:before="240" w:after="0"/>
        <w:jc w:val="left"/>
        <w:rPr>
          <w:rFonts w:ascii="Times New Roman" w:hAnsi="Times New Roman"/>
          <w:sz w:val="20"/>
        </w:rPr>
      </w:pPr>
      <w:r>
        <w:rPr>
          <w:rFonts w:ascii="Times New Roman" w:hAnsi="Times New Roman"/>
          <w:sz w:val="20"/>
        </w:rPr>
        <w:t xml:space="preserve">The allowance for estimated losses is based on the Company’s assessment of the collectability of customer accounts receivable. In accordance with Financial Accounting Standards Board (“FASB”) Accounting Standard Codification (“ASC”) Topic 326 </w:t>
      </w:r>
      <w:r>
        <w:rPr>
          <w:rFonts w:ascii="Times New Roman" w:hAnsi="Times New Roman"/>
          <w:i/>
          <w:sz w:val="20"/>
        </w:rPr>
        <w:t>Financial Instruments – Credit Losses,</w:t>
      </w:r>
      <w:r>
        <w:rPr>
          <w:rFonts w:ascii="Times New Roman" w:hAnsi="Times New Roman"/>
          <w:sz w:val="20"/>
        </w:rPr>
        <w:t xml:space="preserve"> the Company makes ongoing estimates relating to the collectability of accounts receivable and records an allowance for estimated losses expected from the inability of its customers to make required payments. The Company establishes expected credit losses by evaluating specific customer circumstances, historical levels of credit losses, and current economic conditions that may affect a customer’s ability to pay. These inputs are used to determine a range of expected credit losses and an allowance is recorded within the range. Accounts receivable are written off when there is no reasonable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expectation of recovery. The Company had $1.0 million and $0.7 million in allowance for doubtful accounts as of December 31, 2025 and 2024, respectively. </w:t>
      </w:r>
    </w:p>
    <w:p>
      <w:pPr>
        <w:pStyle w:val="TextBody"/>
        <w:bidi w:val="0"/>
        <w:spacing w:before="240" w:after="0"/>
        <w:jc w:val="left"/>
        <w:rPr>
          <w:rFonts w:ascii="Times New Roman" w:hAnsi="Times New Roman"/>
          <w:sz w:val="20"/>
        </w:rPr>
      </w:pPr>
      <w:r>
        <w:rPr>
          <w:rFonts w:ascii="Times New Roman" w:hAnsi="Times New Roman"/>
          <w:sz w:val="20"/>
          <w:u w:val="single"/>
        </w:rPr>
        <w:t>Inventories</w:t>
      </w:r>
      <w:r>
        <w:rPr>
          <w:rFonts w:ascii="Times New Roman" w:hAnsi="Times New Roman"/>
          <w:sz w:val="20"/>
        </w:rPr>
        <w:t xml:space="preserve">: Inventories consist of finished goods, raw materials, and work in process, and are stated at the lower of cost or net realizable value. Inventories are primarily stated at cost using either the specific identification method or average cost method. The specific identification method tracks each specific item in inventory by assigning cost individually instead of grouping items together. The average cost method assigns cost to inventory items based on the total cost of goods purchased or produced in a period divided by the total number of items purchased or produced. The Company periodically evaluates the value of items in inventory and records an inventory reserve if any risks arising from slow-moving items, technological obsolescence, or excess inventories are identified. The Company’s inventory reserve was $0.6 million and $0.5 million as of December 31, 2025 and 2024, respectively. </w:t>
      </w:r>
    </w:p>
    <w:p>
      <w:pPr>
        <w:pStyle w:val="TextBody"/>
        <w:bidi w:val="0"/>
        <w:spacing w:before="240" w:after="0"/>
        <w:jc w:val="left"/>
        <w:rPr>
          <w:rFonts w:ascii="Times New Roman" w:hAnsi="Times New Roman"/>
          <w:sz w:val="20"/>
        </w:rPr>
      </w:pPr>
      <w:r>
        <w:rPr>
          <w:rFonts w:ascii="Times New Roman" w:hAnsi="Times New Roman"/>
          <w:sz w:val="20"/>
          <w:u w:val="single"/>
        </w:rPr>
        <w:t>Other Current Assets</w:t>
      </w:r>
      <w:r>
        <w:rPr>
          <w:rFonts w:ascii="Times New Roman" w:hAnsi="Times New Roman"/>
          <w:sz w:val="20"/>
        </w:rPr>
        <w:t xml:space="preserve">: Other Current Assets include miscellaneous deposits and receivables as of December 31, 2025. Other Current Assets as of December 31 2024 primarily consist of a $5.0 million deposit placed into an escrow account in connection with an Operating Subsidiary acquisition that closed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u w:val="single"/>
        </w:rPr>
        <w:t>Property, Plant, and Equipment, Net</w:t>
      </w:r>
      <w:r>
        <w:rPr>
          <w:rFonts w:ascii="Times New Roman" w:hAnsi="Times New Roman"/>
          <w:sz w:val="20"/>
        </w:rPr>
        <w:t xml:space="preserve">: Property, plant and equipment are stated at cost less accumulated depreciation. Depreciation is calculated on a straight-line basis over the expected useful lives of the assets, which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46"/>
        <w:gridCol w:w="306"/>
        <w:gridCol w:w="3103"/>
      </w:tblGrid>
      <w:tr>
        <w:trPr/>
        <w:tc>
          <w:tcPr>
            <w:tcW w:w="4346"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r>
      <w:tr>
        <w:trPr/>
        <w:tc>
          <w:tcPr>
            <w:tcW w:w="4346"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3103" w:type="dxa"/>
            <w:tcBorders>
              <w:bottom w:val="single" w:sz="8" w:space="0" w:color="000000"/>
            </w:tcBorders>
            <w:tcMar>
              <w:bottom w:w="28" w:type="dxa"/>
            </w:tcMar>
            <w:vAlign w:val="bottom"/>
          </w:tcPr>
          <w:p>
            <w:pPr>
              <w:pStyle w:val="TableContents"/>
              <w:bidi w:val="0"/>
              <w:spacing w:before="0" w:after="283"/>
              <w:jc w:val="center"/>
              <w:rPr>
                <w:b/>
              </w:rPr>
            </w:pPr>
            <w:r>
              <w:rPr>
                <w:b/>
              </w:rPr>
              <w:t>Estimated Useful</w:t>
              <w:br/>
              <w:t>Lives (Years)</w:t>
            </w:r>
          </w:p>
        </w:tc>
      </w:tr>
      <w:tr>
        <w:trPr/>
        <w:tc>
          <w:tcPr>
            <w:tcW w:w="43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306" w:type="dxa"/>
            <w:tcBorders/>
            <w:shd w:fill="CCEEFF" w:val="clear"/>
            <w:vAlign w:val="bottom"/>
          </w:tcPr>
          <w:p>
            <w:pPr>
              <w:pStyle w:val="TableContents"/>
              <w:bidi w:val="0"/>
              <w:spacing w:before="0" w:after="283"/>
              <w:jc w:val="left"/>
              <w:rPr/>
            </w:pPr>
            <w:r>
              <w:rPr/>
              <w:t>  </w:t>
            </w:r>
          </w:p>
        </w:tc>
        <w:tc>
          <w:tcPr>
            <w:tcW w:w="3103" w:type="dxa"/>
            <w:tcBorders/>
            <w:shd w:fill="CCEEFF" w:val="clear"/>
            <w:vAlign w:val="bottom"/>
          </w:tcPr>
          <w:p>
            <w:pPr>
              <w:pStyle w:val="TableContents"/>
              <w:bidi w:val="0"/>
              <w:spacing w:before="0" w:after="283"/>
              <w:jc w:val="center"/>
              <w:rPr/>
            </w:pPr>
            <w:r>
              <w:rPr/>
              <w:t>3 to 6</w:t>
            </w:r>
          </w:p>
        </w:tc>
      </w:tr>
      <w:tr>
        <w:trPr/>
        <w:tc>
          <w:tcPr>
            <w:tcW w:w="4346" w:type="dxa"/>
            <w:tcBorders/>
          </w:tcPr>
          <w:p>
            <w:pPr>
              <w:pStyle w:val="TableContents"/>
              <w:bidi w:val="0"/>
              <w:spacing w:before="0" w:after="0"/>
              <w:jc w:val="left"/>
              <w:rPr>
                <w:rFonts w:ascii="Times New Roman" w:hAnsi="Times New Roman"/>
                <w:sz w:val="20"/>
              </w:rPr>
            </w:pPr>
            <w:r>
              <w:rPr>
                <w:rFonts w:ascii="Times New Roman" w:hAnsi="Times New Roman"/>
                <w:sz w:val="20"/>
              </w:rPr>
              <w:t>Computers, machinery, and equipment</w:t>
            </w:r>
          </w:p>
        </w:tc>
        <w:tc>
          <w:tcPr>
            <w:tcW w:w="306" w:type="dxa"/>
            <w:tcBorders/>
            <w:vAlign w:val="bottom"/>
          </w:tcPr>
          <w:p>
            <w:pPr>
              <w:pStyle w:val="TableContents"/>
              <w:bidi w:val="0"/>
              <w:spacing w:before="0" w:after="283"/>
              <w:jc w:val="left"/>
              <w:rPr/>
            </w:pPr>
            <w:r>
              <w:rPr/>
              <w:t>  </w:t>
            </w:r>
          </w:p>
        </w:tc>
        <w:tc>
          <w:tcPr>
            <w:tcW w:w="3103" w:type="dxa"/>
            <w:tcBorders/>
            <w:vAlign w:val="bottom"/>
          </w:tcPr>
          <w:p>
            <w:pPr>
              <w:pStyle w:val="TableContents"/>
              <w:bidi w:val="0"/>
              <w:spacing w:before="0" w:after="283"/>
              <w:jc w:val="center"/>
              <w:rPr/>
            </w:pPr>
            <w:r>
              <w:rPr/>
              <w:t>3 to 20</w:t>
            </w:r>
          </w:p>
        </w:tc>
      </w:tr>
      <w:tr>
        <w:trPr/>
        <w:tc>
          <w:tcPr>
            <w:tcW w:w="43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306" w:type="dxa"/>
            <w:tcBorders/>
            <w:shd w:fill="CCEEFF" w:val="clear"/>
            <w:vAlign w:val="bottom"/>
          </w:tcPr>
          <w:p>
            <w:pPr>
              <w:pStyle w:val="TableContents"/>
              <w:bidi w:val="0"/>
              <w:spacing w:before="0" w:after="283"/>
              <w:jc w:val="left"/>
              <w:rPr/>
            </w:pPr>
            <w:r>
              <w:rPr/>
              <w:t>  </w:t>
            </w:r>
          </w:p>
        </w:tc>
        <w:tc>
          <w:tcPr>
            <w:tcW w:w="3103" w:type="dxa"/>
            <w:tcBorders/>
            <w:shd w:fill="CCEEFF" w:val="clear"/>
            <w:vAlign w:val="bottom"/>
          </w:tcPr>
          <w:p>
            <w:pPr>
              <w:pStyle w:val="TableContents"/>
              <w:bidi w:val="0"/>
              <w:spacing w:before="0" w:after="283"/>
              <w:jc w:val="center"/>
              <w:rPr/>
            </w:pPr>
            <w:r>
              <w:rPr/>
              <w:t>5 to 12</w:t>
            </w:r>
          </w:p>
        </w:tc>
      </w:tr>
      <w:tr>
        <w:trPr/>
        <w:tc>
          <w:tcPr>
            <w:tcW w:w="4346" w:type="dxa"/>
            <w:tcBorders/>
          </w:tcPr>
          <w:p>
            <w:pPr>
              <w:pStyle w:val="TableContents"/>
              <w:bidi w:val="0"/>
              <w:spacing w:before="0" w:after="0"/>
              <w:jc w:val="left"/>
              <w:rPr>
                <w:rFonts w:ascii="Times New Roman" w:hAnsi="Times New Roman"/>
                <w:sz w:val="20"/>
              </w:rPr>
            </w:pPr>
            <w:r>
              <w:rPr>
                <w:rFonts w:ascii="Times New Roman" w:hAnsi="Times New Roman"/>
                <w:sz w:val="20"/>
              </w:rPr>
              <w:t>Third-party software</w:t>
            </w:r>
          </w:p>
        </w:tc>
        <w:tc>
          <w:tcPr>
            <w:tcW w:w="306" w:type="dxa"/>
            <w:tcBorders/>
            <w:vAlign w:val="bottom"/>
          </w:tcPr>
          <w:p>
            <w:pPr>
              <w:pStyle w:val="TableContents"/>
              <w:bidi w:val="0"/>
              <w:spacing w:before="0" w:after="283"/>
              <w:jc w:val="left"/>
              <w:rPr/>
            </w:pPr>
            <w:r>
              <w:rPr/>
              <w:t>  </w:t>
            </w:r>
          </w:p>
        </w:tc>
        <w:tc>
          <w:tcPr>
            <w:tcW w:w="3103" w:type="dxa"/>
            <w:tcBorders/>
            <w:vAlign w:val="bottom"/>
          </w:tcPr>
          <w:p>
            <w:pPr>
              <w:pStyle w:val="TableContents"/>
              <w:bidi w:val="0"/>
              <w:spacing w:before="0" w:after="283"/>
              <w:jc w:val="center"/>
              <w:rPr/>
            </w:pPr>
            <w:r>
              <w:rPr/>
              <w:t>3 to 5</w:t>
            </w:r>
          </w:p>
        </w:tc>
      </w:tr>
      <w:tr>
        <w:trPr/>
        <w:tc>
          <w:tcPr>
            <w:tcW w:w="43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Buildings</w:t>
            </w:r>
          </w:p>
        </w:tc>
        <w:tc>
          <w:tcPr>
            <w:tcW w:w="306" w:type="dxa"/>
            <w:tcBorders/>
            <w:shd w:fill="CCEEFF" w:val="clear"/>
            <w:vAlign w:val="bottom"/>
          </w:tcPr>
          <w:p>
            <w:pPr>
              <w:pStyle w:val="TableContents"/>
              <w:bidi w:val="0"/>
              <w:spacing w:before="0" w:after="283"/>
              <w:jc w:val="left"/>
              <w:rPr/>
            </w:pPr>
            <w:r>
              <w:rPr/>
              <w:t>  </w:t>
            </w:r>
          </w:p>
        </w:tc>
        <w:tc>
          <w:tcPr>
            <w:tcW w:w="3103" w:type="dxa"/>
            <w:tcBorders/>
            <w:shd w:fill="CCEEFF" w:val="clear"/>
            <w:vAlign w:val="bottom"/>
          </w:tcPr>
          <w:p>
            <w:pPr>
              <w:pStyle w:val="TableContents"/>
              <w:bidi w:val="0"/>
              <w:spacing w:before="0" w:after="283"/>
              <w:jc w:val="center"/>
              <w:rPr/>
            </w:pPr>
            <w:r>
              <w:rPr/>
              <w:t>10 to 50</w:t>
            </w:r>
          </w:p>
        </w:tc>
      </w:tr>
      <w:tr>
        <w:trPr/>
        <w:tc>
          <w:tcPr>
            <w:tcW w:w="4346"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306" w:type="dxa"/>
            <w:tcBorders/>
            <w:vAlign w:val="bottom"/>
          </w:tcPr>
          <w:p>
            <w:pPr>
              <w:pStyle w:val="TableContents"/>
              <w:bidi w:val="0"/>
              <w:spacing w:before="0" w:after="283"/>
              <w:jc w:val="left"/>
              <w:rPr/>
            </w:pPr>
            <w:r>
              <w:rPr/>
              <w:t>  </w:t>
            </w:r>
          </w:p>
        </w:tc>
        <w:tc>
          <w:tcPr>
            <w:tcW w:w="3103" w:type="dxa"/>
            <w:tcBorders/>
            <w:vAlign w:val="bottom"/>
          </w:tcPr>
          <w:p>
            <w:pPr>
              <w:pStyle w:val="TableContents"/>
              <w:bidi w:val="0"/>
              <w:spacing w:before="0" w:after="283"/>
              <w:jc w:val="center"/>
              <w:rPr/>
            </w:pPr>
            <w:r>
              <w:rPr/>
              <w:t>Lesser of estimated useful life or</w:t>
              <w:br/>
              <w:t>remaining lease term</w:t>
            </w:r>
          </w:p>
        </w:tc>
      </w:tr>
    </w:tbl>
    <w:p>
      <w:pPr>
        <w:pStyle w:val="TextBody"/>
        <w:bidi w:val="0"/>
        <w:spacing w:before="240" w:after="0"/>
        <w:jc w:val="left"/>
        <w:rPr>
          <w:rFonts w:ascii="Times New Roman" w:hAnsi="Times New Roman"/>
          <w:sz w:val="20"/>
        </w:rPr>
      </w:pPr>
      <w:r>
        <w:rPr>
          <w:rFonts w:ascii="Times New Roman" w:hAnsi="Times New Roman"/>
          <w:sz w:val="20"/>
        </w:rPr>
        <w:t xml:space="preserve">Maintenance, repairs, and minor renovations are charged to earnings in the year in which the expense is incurred. Additions, improvements, and major renovations are capitalized. The cost of assets retired or sold, together with the related accumulated depreciation, are derecognized at the time of disposal, and any gain or loss on disposition is credited or charged to earnings. </w:t>
      </w:r>
    </w:p>
    <w:p>
      <w:pPr>
        <w:pStyle w:val="TextBody"/>
        <w:bidi w:val="0"/>
        <w:spacing w:before="240" w:after="0"/>
        <w:jc w:val="left"/>
        <w:rPr>
          <w:rFonts w:ascii="Times New Roman" w:hAnsi="Times New Roman"/>
          <w:sz w:val="20"/>
        </w:rPr>
      </w:pPr>
      <w:r>
        <w:rPr>
          <w:rFonts w:ascii="Times New Roman" w:hAnsi="Times New Roman"/>
          <w:sz w:val="20"/>
          <w:u w:val="single"/>
        </w:rPr>
        <w:t>Debt Issuance Costs</w:t>
      </w:r>
      <w:r>
        <w:rPr>
          <w:rFonts w:ascii="Times New Roman" w:hAnsi="Times New Roman"/>
          <w:sz w:val="20"/>
        </w:rPr>
        <w:t xml:space="preserve">: Debt issuance costs associated with the Company’s debt instruments are amortized over the term of the related debt and are included in Other Current Assets, Short-Term Debt and Current Portion of Long-Term Debt, or Long-Term Debt in the Consolidated Balance Sheets. Debt issuance costs included in Other Current Assets consist of unamortized warrants issued in connection with the Company’s debt instruments. The warrants are initially capitalized at their fair value and are amortized on a straight-line basis over the term of the debt instrument. See NOTE 10 for a description of the warrants issued by the Company. Amortization expense related to deferred debt issuance costs is recognized in Interest Expense, Net in the Consolidated Statements of Operations and was $0.8 million and $1.4 million for the years ended December 31, 2025 and 2024, respectively. See NOTE 9 for a description of the Company’s debt instruments. </w:t>
      </w:r>
    </w:p>
    <w:p>
      <w:pPr>
        <w:pStyle w:val="TextBody"/>
        <w:bidi w:val="0"/>
        <w:spacing w:before="240" w:after="0"/>
        <w:jc w:val="left"/>
        <w:rPr>
          <w:rFonts w:ascii="Times New Roman" w:hAnsi="Times New Roman"/>
          <w:sz w:val="20"/>
        </w:rPr>
      </w:pPr>
      <w:r>
        <w:rPr>
          <w:rFonts w:ascii="Times New Roman" w:hAnsi="Times New Roman"/>
          <w:sz w:val="20"/>
          <w:u w:val="single"/>
        </w:rPr>
        <w:t>Goodwill and Intangible Assets</w:t>
      </w:r>
      <w:r>
        <w:rPr>
          <w:rFonts w:ascii="Times New Roman" w:hAnsi="Times New Roman"/>
          <w:sz w:val="20"/>
        </w:rPr>
        <w:t xml:space="preserve">: Goodwill represents the excess of the purchase price over the fair value of acquired assets, including identifiable intangible assets, and assumed liabilities. The Company assesses goodwill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impairment annually during the fourth quarter of the fiscal year and whenever an event occurs or circumstances change that would indicate that the carrying amount of goodwill may be impaired. Impairment testing for goodwill is performed at the reporting unit level. An impairment loss is recognized when the carrying amount of the reporting unit’s net assets exceeds the estimated fair value of the reporting unit. To test for impairment, the Company utilizes a market approach to calculate the fair value of its reporting units. The Company recognized $19.4 million and $15.6 million of Goodwill Impairment during the years ended December 31, 2025 and 2024, respectively. See NOTE 8. </w:t>
      </w:r>
    </w:p>
    <w:p>
      <w:pPr>
        <w:pStyle w:val="TextBody"/>
        <w:bidi w:val="0"/>
        <w:spacing w:before="240" w:after="0"/>
        <w:jc w:val="left"/>
        <w:rPr>
          <w:rFonts w:ascii="Times New Roman" w:hAnsi="Times New Roman"/>
          <w:sz w:val="20"/>
        </w:rPr>
      </w:pPr>
      <w:r>
        <w:rPr>
          <w:rFonts w:ascii="Times New Roman" w:hAnsi="Times New Roman"/>
          <w:sz w:val="20"/>
        </w:rPr>
        <w:t xml:space="preserve">Definite-lived intangible assets primarily consist of trade names, customer related intangible assets, and internally developed software. Definite-lived intangible assets are tested for impairment whenever an event occurs or circumstances change that would indicate that the carrying amount of an asset group may not be recoverable. When an asset group may not be recoverable, the Company compares the asset group’s carrying value to its undiscounted future cash flows. If the carrying value of an asset group is not recoverable, an impairment loss is recognized based on the amount by which the carrying value exceeds the fair value. The Company utilizes a market approach to calculate the fair value of its asset groups when the asset group is not recoverable. The Company recognized $0.8 million and $1.3 million of impairment of definite-lived intangible assets during the years ended December 31, 2025 and 2024, respectively. See NOTE 8. Impairments of definite-lived intangible assets are recognized in Amortization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u w:val="single"/>
        </w:rPr>
        <w:t>Business Combinations</w:t>
      </w:r>
      <w:r>
        <w:rPr>
          <w:rFonts w:ascii="Times New Roman" w:hAnsi="Times New Roman"/>
          <w:sz w:val="20"/>
        </w:rPr>
        <w:t xml:space="preserve">: The Company accounts for business combinations using the acquisition method of accounting, which requires that the assets acquired, liabilities assumed, contractual contingencies, and contingent consideration are recorded at the date of acquisition at their respective fair values. Goodwill is recorded when consideration paid in a business combination exceeds the fair value of the net assets acquired. Amounts recorded in a business combination may change during the measurement period, which is a period not to exceed one year from the date of acquisition, as additional information about conditions existing at the acquisition date becomes available. The Company includes the results of operations of the acquired business in the consolidated financial statements prospectively from the date of acquisition. </w:t>
      </w:r>
    </w:p>
    <w:p>
      <w:pPr>
        <w:pStyle w:val="TextBody"/>
        <w:bidi w:val="0"/>
        <w:spacing w:before="240" w:after="0"/>
        <w:jc w:val="left"/>
        <w:rPr>
          <w:rFonts w:ascii="Times New Roman" w:hAnsi="Times New Roman"/>
          <w:sz w:val="20"/>
        </w:rPr>
      </w:pPr>
      <w:r>
        <w:rPr>
          <w:rFonts w:ascii="Times New Roman" w:hAnsi="Times New Roman"/>
          <w:sz w:val="20"/>
        </w:rPr>
        <w:t>The valuation of the assets acquired and liabilities assumed is subject to revision. If additional information about the facts and circumstances that existed at the acquisition date becomes available, the Company may further revise the purchase price allocation as soon as practical, but no later than one year from the acquisition date; however, material changes are not expected. Goodwill generated by the business combinations is primarily attributable to the strong market position of the companies acquired and their existing customer base.</w:t>
      </w:r>
    </w:p>
    <w:p>
      <w:pPr>
        <w:pStyle w:val="TextBody"/>
        <w:bidi w:val="0"/>
        <w:spacing w:before="240" w:after="0"/>
        <w:jc w:val="left"/>
        <w:rPr>
          <w:rFonts w:ascii="Times New Roman" w:hAnsi="Times New Roman"/>
          <w:sz w:val="20"/>
        </w:rPr>
      </w:pPr>
      <w:r>
        <w:rPr>
          <w:rFonts w:ascii="Times New Roman" w:hAnsi="Times New Roman"/>
          <w:sz w:val="20"/>
        </w:rPr>
        <w:t xml:space="preserve">Acquisition-related costs, including legal, consulting, and contingent transaction fees, are expensed in the periods in which the costs are incurred and are recognized in Selling, General, and Administrative Expenses. For the years ended December 31, 2025 and 2024, acquisition-related costs totaled $1.8 million and $0.4 million, respectively. The increase in 2025 was primarily driven by legal costs and contingent transaction fees associated with international acquisitions. </w:t>
      </w:r>
    </w:p>
    <w:p>
      <w:pPr>
        <w:pStyle w:val="TextBody"/>
        <w:bidi w:val="0"/>
        <w:spacing w:before="240" w:after="0"/>
        <w:jc w:val="left"/>
        <w:rPr>
          <w:rFonts w:ascii="Times New Roman" w:hAnsi="Times New Roman"/>
          <w:sz w:val="20"/>
        </w:rPr>
      </w:pPr>
      <w:r>
        <w:rPr>
          <w:rFonts w:ascii="Times New Roman" w:hAnsi="Times New Roman"/>
          <w:sz w:val="20"/>
          <w:u w:val="single"/>
        </w:rPr>
        <w:t>Revenue Recognition</w:t>
      </w:r>
      <w:r>
        <w:rPr>
          <w:rFonts w:ascii="Times New Roman" w:hAnsi="Times New Roman"/>
          <w:sz w:val="20"/>
        </w:rPr>
        <w:t xml:space="preserve">: The Company recognizes revenue in accordance with the five-step model outlined in ASC 606 – </w:t>
      </w:r>
      <w:r>
        <w:rPr>
          <w:rFonts w:ascii="Times New Roman" w:hAnsi="Times New Roman"/>
          <w:i/>
          <w:sz w:val="20"/>
        </w:rPr>
        <w:t>Revenue from Contracts with Customers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the contract with the customer.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the performance obligations in the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 the transaction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Allocate the transaction price to the performance obligations in the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 revenue when or as the entity satisfies a performance obligation.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generates revenue from the sale of a diverse mix of product and service offerings. The Company recognizes a portion of revenue at a point-in-time and a portion of revenue over-time. See NOTE 3. </w:t>
      </w:r>
    </w:p>
    <w:p>
      <w:pPr>
        <w:pStyle w:val="TextBody"/>
        <w:bidi w:val="0"/>
        <w:spacing w:before="240" w:after="0"/>
        <w:jc w:val="left"/>
        <w:rPr>
          <w:rFonts w:ascii="Times New Roman" w:hAnsi="Times New Roman"/>
          <w:sz w:val="20"/>
        </w:rPr>
      </w:pPr>
      <w:r>
        <w:rPr>
          <w:rFonts w:ascii="Times New Roman" w:hAnsi="Times New Roman"/>
          <w:sz w:val="20"/>
          <w:u w:val="single"/>
        </w:rPr>
        <w:t>Leases</w:t>
      </w:r>
      <w:r>
        <w:rPr>
          <w:rFonts w:ascii="Times New Roman" w:hAnsi="Times New Roman"/>
          <w:sz w:val="20"/>
        </w:rPr>
        <w:t xml:space="preserve">: The Company leases assets including real estate, vehicles, and equipment. The Company determines if an arrangement is a lease at inception for arrangements with an initial term of more than 12 months and classifies it as either a finance or operating lease. The Company records a right of use (“ROU”) asset and lease liability based on the present value of the Company’s estimated future minimum lease payments over the lease term. ROU assets and lease liabilities are recorded for finance and operating leases, and current and non-current amounts of lease liabilities are separately presented in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Lease terms may include options to extend when it is reasonably certain that the Company will exercise that option. These judgments may produce materially different amounts of depreciation, amortization, and rent expense than would be reported if different assumed lease terms were used. </w:t>
      </w:r>
    </w:p>
    <w:p>
      <w:pPr>
        <w:pStyle w:val="TextBody"/>
        <w:bidi w:val="0"/>
        <w:spacing w:before="240" w:after="0"/>
        <w:jc w:val="left"/>
        <w:rPr>
          <w:rFonts w:ascii="Times New Roman" w:hAnsi="Times New Roman"/>
          <w:sz w:val="20"/>
        </w:rPr>
      </w:pPr>
      <w:r>
        <w:rPr>
          <w:rFonts w:ascii="Times New Roman" w:hAnsi="Times New Roman"/>
          <w:sz w:val="20"/>
        </w:rPr>
        <w:t xml:space="preserve">If a lease does not provide enough information to determine the implicit interest rate in the agreement, the Company uses its incremental borrowing rate in calculating the lease liability. See NOTE 11. </w:t>
      </w:r>
    </w:p>
    <w:p>
      <w:pPr>
        <w:pStyle w:val="TextBody"/>
        <w:bidi w:val="0"/>
        <w:spacing w:before="240" w:after="0"/>
        <w:jc w:val="left"/>
        <w:rPr>
          <w:rFonts w:ascii="Times New Roman" w:hAnsi="Times New Roman"/>
          <w:sz w:val="20"/>
        </w:rPr>
      </w:pPr>
      <w:r>
        <w:rPr>
          <w:rFonts w:ascii="Times New Roman" w:hAnsi="Times New Roman"/>
          <w:sz w:val="20"/>
          <w:u w:val="single"/>
        </w:rPr>
        <w:t>Shipping and Handling Costs</w:t>
      </w:r>
      <w:r>
        <w:rPr>
          <w:rFonts w:ascii="Times New Roman" w:hAnsi="Times New Roman"/>
          <w:sz w:val="20"/>
        </w:rPr>
        <w:t xml:space="preserve">: The Company has made an accounting policy election to recognize shipping costs and handling activities as fulfillment costs rather than a separate performance obligation. Shipping and handling costs collected from customers are recognized in Revenue, and the related shipping and handling costs are recognized in Cost of Revenue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u w:val="single"/>
        </w:rPr>
        <w:t>Impairment of Long-Lived Assets</w:t>
      </w:r>
      <w:r>
        <w:rPr>
          <w:rFonts w:ascii="Times New Roman" w:hAnsi="Times New Roman"/>
          <w:sz w:val="20"/>
        </w:rPr>
        <w:t xml:space="preserve">: The Company evaluates the recoverability of long-lived assets whenever events or changes in circumstances indicate that the carrying amount of an asset or asset group may not be recoverable. If the sum of expected undiscounted net future cash flows is less than the carrying amount of an asset or asset group, an impairment is recognized to the extent that the carrying amount of the asset or asset group exceeds its fair value. The Company recorded an immaterial amount of long-lived asset impairments related to restructuring activities during the years ended December 31, 2025 and 2024. See NOTE 5. </w:t>
      </w:r>
    </w:p>
    <w:p>
      <w:pPr>
        <w:pStyle w:val="TextBody"/>
        <w:bidi w:val="0"/>
        <w:spacing w:before="240" w:after="0"/>
        <w:jc w:val="left"/>
        <w:rPr>
          <w:rFonts w:ascii="Times New Roman" w:hAnsi="Times New Roman"/>
          <w:sz w:val="20"/>
        </w:rPr>
      </w:pPr>
      <w:r>
        <w:rPr>
          <w:rFonts w:ascii="Times New Roman" w:hAnsi="Times New Roman"/>
          <w:sz w:val="20"/>
          <w:u w:val="single"/>
        </w:rPr>
        <w:t>Fair Value of Financial Instruments</w:t>
      </w:r>
      <w:r>
        <w:rPr>
          <w:rFonts w:ascii="Times New Roman" w:hAnsi="Times New Roman"/>
          <w:sz w:val="20"/>
        </w:rPr>
        <w:t xml:space="preserve">: A financial instrument’s categorization within the fair value hierarchy is based upon the lowest level of input that is significant to the fair value measurement. The inputs are prioritized into three levels that may be used to measure fair value: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6"/>
        <w:gridCol w:w="204"/>
        <w:gridCol w:w="9185"/>
      </w:tblGrid>
      <w:tr>
        <w:trPr/>
        <w:tc>
          <w:tcPr>
            <w:tcW w:w="81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185" w:type="dxa"/>
            <w:tcBorders/>
            <w:vAlign w:val="center"/>
          </w:tcPr>
          <w:p>
            <w:pPr>
              <w:pStyle w:val="TableContents"/>
              <w:bidi w:val="0"/>
              <w:spacing w:before="0" w:after="283"/>
              <w:jc w:val="left"/>
              <w:rPr>
                <w:sz w:val="4"/>
                <w:szCs w:val="4"/>
              </w:rPr>
            </w:pPr>
            <w:r>
              <w:rPr>
                <w:sz w:val="4"/>
                <w:szCs w:val="4"/>
              </w:rPr>
            </w:r>
          </w:p>
        </w:tc>
      </w:tr>
      <w:tr>
        <w:trPr/>
        <w:tc>
          <w:tcPr>
            <w:tcW w:w="816" w:type="dxa"/>
            <w:tcBorders/>
          </w:tcPr>
          <w:p>
            <w:pPr>
              <w:pStyle w:val="TableContents"/>
              <w:bidi w:val="0"/>
              <w:spacing w:before="0" w:after="283"/>
              <w:jc w:val="left"/>
              <w:rPr/>
            </w:pPr>
            <w:r>
              <w:rPr/>
              <w:t>Level 1:</w:t>
            </w:r>
          </w:p>
        </w:tc>
        <w:tc>
          <w:tcPr>
            <w:tcW w:w="204" w:type="dxa"/>
            <w:tcBorders/>
            <w:vAlign w:val="bottom"/>
          </w:tcPr>
          <w:p>
            <w:pPr>
              <w:pStyle w:val="TableContents"/>
              <w:bidi w:val="0"/>
              <w:spacing w:before="0" w:after="283"/>
              <w:jc w:val="left"/>
              <w:rPr/>
            </w:pPr>
            <w:r>
              <w:rPr/>
              <w:t>  </w:t>
            </w:r>
          </w:p>
        </w:tc>
        <w:tc>
          <w:tcPr>
            <w:tcW w:w="9185" w:type="dxa"/>
            <w:tcBorders/>
          </w:tcPr>
          <w:p>
            <w:pPr>
              <w:pStyle w:val="TableContents"/>
              <w:bidi w:val="0"/>
              <w:spacing w:before="0" w:after="283"/>
              <w:jc w:val="left"/>
              <w:rPr/>
            </w:pPr>
            <w:r>
              <w:rPr/>
              <w:t>Inputs that reflect quoted prices for identical assets or liabilities in active markets that are observable.</w:t>
            </w:r>
          </w:p>
        </w:tc>
      </w:tr>
      <w:tr>
        <w:trPr>
          <w:trHeight w:val="120" w:hRule="atLeast"/>
        </w:trPr>
        <w:tc>
          <w:tcPr>
            <w:tcW w:w="816" w:type="dxa"/>
            <w:tcBorders/>
            <w:vAlign w:val="center"/>
          </w:tcPr>
          <w:p>
            <w:pPr>
              <w:pStyle w:val="TableContents"/>
              <w:bidi w:val="0"/>
              <w:spacing w:before="0" w:after="283"/>
              <w:jc w:val="left"/>
              <w:rPr>
                <w:sz w:val="4"/>
                <w:szCs w:val="4"/>
              </w:rPr>
            </w:pPr>
            <w:r>
              <w:rPr>
                <w:sz w:val="4"/>
                <w:szCs w:val="4"/>
              </w:rPr>
            </w:r>
          </w:p>
        </w:tc>
        <w:tc>
          <w:tcPr>
            <w:tcW w:w="9389" w:type="dxa"/>
            <w:gridSpan w:val="2"/>
            <w:tcBorders/>
            <w:vAlign w:val="center"/>
          </w:tcPr>
          <w:p>
            <w:pPr>
              <w:pStyle w:val="TableContents"/>
              <w:bidi w:val="0"/>
              <w:spacing w:before="0" w:after="283"/>
              <w:jc w:val="left"/>
              <w:rPr>
                <w:sz w:val="4"/>
                <w:szCs w:val="4"/>
              </w:rPr>
            </w:pPr>
            <w:r>
              <w:rPr>
                <w:sz w:val="4"/>
                <w:szCs w:val="4"/>
              </w:rPr>
            </w:r>
          </w:p>
        </w:tc>
      </w:tr>
      <w:tr>
        <w:trPr/>
        <w:tc>
          <w:tcPr>
            <w:tcW w:w="816" w:type="dxa"/>
            <w:tcBorders/>
          </w:tcPr>
          <w:p>
            <w:pPr>
              <w:pStyle w:val="TableContents"/>
              <w:bidi w:val="0"/>
              <w:spacing w:before="0" w:after="283"/>
              <w:jc w:val="left"/>
              <w:rPr/>
            </w:pPr>
            <w:r>
              <w:rPr/>
              <w:t>Level 2:</w:t>
            </w:r>
          </w:p>
        </w:tc>
        <w:tc>
          <w:tcPr>
            <w:tcW w:w="204" w:type="dxa"/>
            <w:tcBorders/>
            <w:vAlign w:val="bottom"/>
          </w:tcPr>
          <w:p>
            <w:pPr>
              <w:pStyle w:val="TableContents"/>
              <w:bidi w:val="0"/>
              <w:spacing w:before="0" w:after="283"/>
              <w:jc w:val="left"/>
              <w:rPr/>
            </w:pPr>
            <w:r>
              <w:rPr/>
              <w:t>  </w:t>
            </w:r>
          </w:p>
        </w:tc>
        <w:tc>
          <w:tcPr>
            <w:tcW w:w="9185" w:type="dxa"/>
            <w:tcBorders/>
          </w:tcPr>
          <w:p>
            <w:pPr>
              <w:pStyle w:val="TableContents"/>
              <w:bidi w:val="0"/>
              <w:spacing w:before="0" w:after="283"/>
              <w:jc w:val="left"/>
              <w:rPr/>
            </w:pPr>
            <w:r>
              <w:rPr/>
              <w:t>Inputs that reflect quoted prices for similar assets or liabilities in active markets; quoted prices for identical or similar assets or liabilities in markets that are not active; or model-derived valuations in which significant inputs are observable or can be derived principally from, or corroborated by, observable market data.</w:t>
            </w:r>
          </w:p>
        </w:tc>
      </w:tr>
      <w:tr>
        <w:trPr>
          <w:trHeight w:val="120" w:hRule="atLeast"/>
        </w:trPr>
        <w:tc>
          <w:tcPr>
            <w:tcW w:w="816" w:type="dxa"/>
            <w:tcBorders/>
            <w:vAlign w:val="center"/>
          </w:tcPr>
          <w:p>
            <w:pPr>
              <w:pStyle w:val="TableContents"/>
              <w:bidi w:val="0"/>
              <w:spacing w:before="0" w:after="283"/>
              <w:jc w:val="left"/>
              <w:rPr>
                <w:sz w:val="4"/>
                <w:szCs w:val="4"/>
              </w:rPr>
            </w:pPr>
            <w:r>
              <w:rPr>
                <w:sz w:val="4"/>
                <w:szCs w:val="4"/>
              </w:rPr>
            </w:r>
          </w:p>
        </w:tc>
        <w:tc>
          <w:tcPr>
            <w:tcW w:w="9389" w:type="dxa"/>
            <w:gridSpan w:val="2"/>
            <w:tcBorders/>
            <w:vAlign w:val="center"/>
          </w:tcPr>
          <w:p>
            <w:pPr>
              <w:pStyle w:val="TableContents"/>
              <w:bidi w:val="0"/>
              <w:spacing w:before="0" w:after="283"/>
              <w:jc w:val="left"/>
              <w:rPr>
                <w:sz w:val="4"/>
                <w:szCs w:val="4"/>
              </w:rPr>
            </w:pPr>
            <w:r>
              <w:rPr>
                <w:sz w:val="4"/>
                <w:szCs w:val="4"/>
              </w:rPr>
            </w:r>
          </w:p>
        </w:tc>
      </w:tr>
      <w:tr>
        <w:trPr/>
        <w:tc>
          <w:tcPr>
            <w:tcW w:w="816" w:type="dxa"/>
            <w:tcBorders/>
          </w:tcPr>
          <w:p>
            <w:pPr>
              <w:pStyle w:val="TableContents"/>
              <w:bidi w:val="0"/>
              <w:spacing w:before="0" w:after="283"/>
              <w:jc w:val="left"/>
              <w:rPr/>
            </w:pPr>
            <w:r>
              <w:rPr/>
              <w:t>Level 3:</w:t>
            </w:r>
          </w:p>
        </w:tc>
        <w:tc>
          <w:tcPr>
            <w:tcW w:w="204" w:type="dxa"/>
            <w:tcBorders/>
            <w:vAlign w:val="bottom"/>
          </w:tcPr>
          <w:p>
            <w:pPr>
              <w:pStyle w:val="TableContents"/>
              <w:bidi w:val="0"/>
              <w:spacing w:before="0" w:after="283"/>
              <w:jc w:val="left"/>
              <w:rPr/>
            </w:pPr>
            <w:r>
              <w:rPr/>
              <w:t>  </w:t>
            </w:r>
          </w:p>
        </w:tc>
        <w:tc>
          <w:tcPr>
            <w:tcW w:w="9185" w:type="dxa"/>
            <w:tcBorders/>
          </w:tcPr>
          <w:p>
            <w:pPr>
              <w:pStyle w:val="TableContents"/>
              <w:bidi w:val="0"/>
              <w:spacing w:before="0" w:after="283"/>
              <w:jc w:val="left"/>
              <w:rPr/>
            </w:pPr>
            <w:r>
              <w:rPr/>
              <w:t>Inputs that are unobservable to the extent that observable inputs are not available for the asset or liability at the measurement date.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carrying amounts for financial instruments, which include cash and cash equivalents, accounts receivable, and accounts payable, approximate the fair value. Unless otherwise disclosed in NOTE 9, the fair value of the Company’s long-term debt approximates its carrying value based on rates currently offered to the Company for similar debt instruments of comparable maturities by the Company’s lenders.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liability-classified warrants relating to the issuance of its debt instruments. The Company concluded that the warrants do not meet the criteria to be classified as stockholders’ equity and should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classified as liabilities. These warrants are measured at fair value each reporting period using the Black-Scholes option-pricing model, with changes in fair value included in the Consolidated Statements of Operations. The warrants represent Level 3 fair value instruments. See NOTE 10. </w:t>
      </w:r>
    </w:p>
    <w:p>
      <w:pPr>
        <w:pStyle w:val="TextBody"/>
        <w:bidi w:val="0"/>
        <w:spacing w:before="240" w:after="0"/>
        <w:jc w:val="left"/>
        <w:rPr>
          <w:rFonts w:ascii="Times New Roman" w:hAnsi="Times New Roman"/>
          <w:sz w:val="20"/>
        </w:rPr>
      </w:pPr>
      <w:r>
        <w:rPr>
          <w:rFonts w:ascii="Times New Roman" w:hAnsi="Times New Roman"/>
          <w:sz w:val="20"/>
          <w:u w:val="single"/>
        </w:rPr>
        <w:t>Stock-Based Compensation</w:t>
      </w:r>
      <w:r>
        <w:rPr>
          <w:rFonts w:ascii="Times New Roman" w:hAnsi="Times New Roman"/>
          <w:sz w:val="20"/>
        </w:rPr>
        <w:t xml:space="preserve">: The Company issues equity awards under the 2020 Equity Incentive Plan to certain employees of its parent company. The 2020 Equity Incentive Plan permits the granting of incentive stock options, nonstatutory stock options, stock appreciation rights, restricted stock, and restricted stock units. The Operating Subsidiaries also issue equity awards to their employees in the form of restricted stock. </w:t>
      </w:r>
    </w:p>
    <w:p>
      <w:pPr>
        <w:pStyle w:val="TextBody"/>
        <w:bidi w:val="0"/>
        <w:spacing w:before="240" w:after="0"/>
        <w:jc w:val="left"/>
        <w:rPr>
          <w:rFonts w:ascii="Times New Roman" w:hAnsi="Times New Roman"/>
          <w:sz w:val="20"/>
        </w:rPr>
      </w:pPr>
      <w:r>
        <w:rPr>
          <w:rFonts w:ascii="Times New Roman" w:hAnsi="Times New Roman"/>
          <w:sz w:val="20"/>
        </w:rPr>
        <w:t xml:space="preserve">The Company measures the cost of services received in exchange for an award of equity instruments (typically restricted stock and stock options) based on the grant-date fair value of the awards issued under the plan. All awards issued by the Company are classified as equity. The fair value of stock options is calculated using the Black-Scholes option-pricing model, while the fair value of restricted stock is calculated based on the fair value of the Operating Subsidiary’s common shares on the grant date. The resulting compensation expense is recognized over the period during which an employee is required to provide services in exchange for the awards, usually the vesting period. Forfeitures are accounted for as they occur. See NOTE 14 and NOTE 15. </w:t>
      </w:r>
    </w:p>
    <w:p>
      <w:pPr>
        <w:pStyle w:val="TextBody"/>
        <w:bidi w:val="0"/>
        <w:spacing w:before="240" w:after="0"/>
        <w:jc w:val="left"/>
        <w:rPr>
          <w:rFonts w:ascii="Times New Roman" w:hAnsi="Times New Roman"/>
          <w:sz w:val="20"/>
        </w:rPr>
      </w:pPr>
      <w:r>
        <w:rPr>
          <w:rFonts w:ascii="Times New Roman" w:hAnsi="Times New Roman"/>
          <w:sz w:val="20"/>
          <w:u w:val="single"/>
        </w:rPr>
        <w:t>Insurance Products</w:t>
      </w:r>
      <w:r>
        <w:rPr>
          <w:rFonts w:ascii="Times New Roman" w:hAnsi="Times New Roman"/>
          <w:sz w:val="20"/>
        </w:rPr>
        <w:t xml:space="preserve">: The Company self-insures a number of domestic risks, including, but not limited to, certain employee-related healthcare benefits, general liability, property liability, and auto liability. Operating Subsidiaries that utilize the Company’s insurance products pay premiums to Teamshares on a monthly basis. The premium is eliminated in consolidation. The Company mitigates its risk under these self-funded programs by purchasing stop-loss insurance coverage for high-dollar individual claims. The Company is the primary obligor of all claims that are owed to policyholders, including in situations when the Company is entitled to a stop-loss reimbursement.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its exposure for claims incurred but not yet paid at the end of each reporting period by evaluating historical paid claims, average lags between incurred dates, reported dates, and paid dates, as well as the frequency and severity of claims. As of December 31, 2025, the Company had $1.7 million included in Accrued Expenses for claims incurred but not yet paid, and $0.2 million included in Other Current Assets for pending stop-loss reimbursements in the Consolidated Balance Sheets. As of December 31, 2024, the Company had $1.2 million included in Accrued Expenses for claims incurred but not yet paid, and $0.5 million included in Other Current Assets for pending stop-loss reimbursements on the Consolidated Balance Sheets. For the years ended December 31, 2025 and 2024, the cost of self-insurance programs was $11.3 million and $6.4 million, respectively, including claims cost and administrative expenses. These costs are recognized in Selling, General, and Administrative Expenses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u w:val="single"/>
        </w:rPr>
        <w:t>Advertising Expense</w:t>
      </w:r>
      <w:r>
        <w:rPr>
          <w:rFonts w:ascii="Times New Roman" w:hAnsi="Times New Roman"/>
          <w:sz w:val="20"/>
        </w:rPr>
        <w:t xml:space="preserve">: Advertising costs are expensed in the period incurred and are recognized in Selling, General, and Administrative Expenses in the Consolidated Statements of Operations. For the years ended December 31, 2025 and 2024, advertising expenses were $6.2 million and $6.8 million, respectively. </w:t>
      </w:r>
    </w:p>
    <w:p>
      <w:pPr>
        <w:pStyle w:val="TextBody"/>
        <w:bidi w:val="0"/>
        <w:spacing w:before="240" w:after="0"/>
        <w:jc w:val="left"/>
        <w:rPr>
          <w:rFonts w:ascii="Times New Roman" w:hAnsi="Times New Roman"/>
          <w:sz w:val="20"/>
        </w:rPr>
      </w:pPr>
      <w:r>
        <w:rPr>
          <w:rFonts w:ascii="Times New Roman" w:hAnsi="Times New Roman"/>
          <w:sz w:val="20"/>
          <w:u w:val="single"/>
        </w:rPr>
        <w:t>Post-Retirement Benefits</w:t>
      </w:r>
      <w:r>
        <w:rPr>
          <w:rFonts w:ascii="Times New Roman" w:hAnsi="Times New Roman"/>
          <w:sz w:val="20"/>
        </w:rPr>
        <w:t xml:space="preserve">: Teamshares and certain of its Operating Subsidiaries provide employees with post-retirement benefits in the form of 401(k) plans. Certain Operating Subsidiaries provide employer-matching programs for 401(k) contributions, which resulted in $1.8 million and $1.6 million of expenses during the years ended December 31, 2025 and 2024, respectively. These expenses are recognized in Cost of Revenue or Selling, General, and Administrative Expenses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u w:val="single"/>
        </w:rPr>
        <w:t>Simple Agreements for Future Equity:</w:t>
      </w:r>
      <w:r>
        <w:rPr>
          <w:rFonts w:ascii="Times New Roman" w:hAnsi="Times New Roman"/>
          <w:sz w:val="20"/>
        </w:rPr>
        <w:t xml:space="preserve"> During the year ended December 31, 2025, the Company entered into Simple Agreements for Future Equity (“SAFE Notes”) with unaffiliated investors in exchange for proceeds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$3.0 million. The SAFE Notes have not been converted to equity instruments as of December 31, 2025. SAFE Notes are included in Other Long-Term Liabilities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2024, the Company entered into a SAFE Note with an unaffiliated investor in exchange for proceeds of $10.0 million. In connection with the Series E Preferred Stock issuances during the year ended December 31, 2024, this SAFE Note was converted into 131,015 shares of Series E Preferred Stock. The SAFE Note conversion did not impact the Consolidated Statements of Operations during the year ended December 31, 2024. </w:t>
      </w:r>
    </w:p>
    <w:p>
      <w:pPr>
        <w:pStyle w:val="TextBody"/>
        <w:bidi w:val="0"/>
        <w:spacing w:before="240" w:after="0"/>
        <w:jc w:val="left"/>
        <w:rPr>
          <w:rFonts w:ascii="Times New Roman" w:hAnsi="Times New Roman"/>
          <w:sz w:val="20"/>
        </w:rPr>
      </w:pPr>
      <w:r>
        <w:rPr>
          <w:rFonts w:ascii="Times New Roman" w:hAnsi="Times New Roman"/>
          <w:sz w:val="20"/>
          <w:u w:val="single"/>
        </w:rPr>
        <w:t>Income Taxes</w:t>
      </w:r>
      <w:r>
        <w:rPr>
          <w:rFonts w:ascii="Times New Roman" w:hAnsi="Times New Roman"/>
          <w:sz w:val="20"/>
        </w:rPr>
        <w:t xml:space="preserve">: Income taxes are computed using the asset and liability method, under which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 expected to be realized.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liabilities related to uncertain tax positions when, despite its belief that the tax return positions are supportable, the Company believes that it is more likely than not that those positions may not be fully sustained upon review by tax authorities. Accrued interest and penalties related to unrecognized tax benefits are recognized in income tax expense. </w:t>
      </w:r>
    </w:p>
    <w:p>
      <w:pPr>
        <w:pStyle w:val="TextBody"/>
        <w:bidi w:val="0"/>
        <w:spacing w:before="240" w:after="0"/>
        <w:jc w:val="left"/>
        <w:rPr>
          <w:rFonts w:ascii="Times New Roman" w:hAnsi="Times New Roman"/>
          <w:sz w:val="20"/>
        </w:rPr>
      </w:pPr>
      <w:r>
        <w:rPr>
          <w:rFonts w:ascii="Times New Roman" w:hAnsi="Times New Roman"/>
          <w:sz w:val="20"/>
          <w:u w:val="single"/>
        </w:rPr>
        <w:t>Commitments and Contingencies:</w:t>
      </w:r>
      <w:r>
        <w:rPr>
          <w:rFonts w:ascii="Times New Roman" w:hAnsi="Times New Roman"/>
          <w:sz w:val="20"/>
        </w:rPr>
        <w:t xml:space="preserve"> The Company is involved in various lawsuits or claims in the ordinary course of business. Management believes there are no pending claims or lawsuits which, if adversely determined, would have a material impact on the financial condition of the Company. The Company has contingent consideration relating to earnout arrangements from its acquisition of certain Operating Subsidiaries. In general, the earnout arrangements require the Company to make payments to the former owner based on the performance of the business (typically related to a percentage of revenue or a specified profitability metric) for a specific period of time subsequent to the acquisition date. The Company performs valuations each reporting period to measure the changes in the fair value of these earnouts. See NOTE 10.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$3.2 million included in Current Liabilities and $6.0 million included in Long-Term Liabilities in the Consolidated Balance Sheets related to contingent consideration. In comparison, the Company had $1.8 million included in Current Liabilities and $1.9 million included in Long-Term Liabilities in the Consolidated Balance Sheets related to contingent consideration as of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For the years ended December 31, 2025 and 2024, respectively, the change in fair value related to contingent consideration resulted in losses of $1.3 million and $0.1 million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u w:val="single"/>
        </w:rPr>
        <w:t>Sale and Leaseback of Real Estate and Defeasance of Debt:</w:t>
      </w:r>
      <w:r>
        <w:rPr>
          <w:rFonts w:ascii="Times New Roman" w:hAnsi="Times New Roman"/>
          <w:sz w:val="20"/>
        </w:rPr>
        <w:t xml:space="preserve"> On August 25, 2025, the Company completed a sale and leaseback (the “Sale Leaseback”) of 17 real estate properties. The carrying value of the assets included in the Sale Leaseback was $8.2 million of land and $15.4 million of buildings as of August 25, 2025. The Company agreed to lease these properties back from the counterparty for a period of 20 years. The base rent during the first year of the lease term is $2.6 million. Base rent will increase by 2% annually. </w:t>
      </w:r>
    </w:p>
    <w:p>
      <w:pPr>
        <w:pStyle w:val="TextBody"/>
        <w:bidi w:val="0"/>
        <w:spacing w:before="240" w:after="0"/>
        <w:jc w:val="left"/>
        <w:rPr>
          <w:rFonts w:ascii="Times New Roman" w:hAnsi="Times New Roman"/>
          <w:sz w:val="20"/>
        </w:rPr>
      </w:pPr>
      <w:r>
        <w:rPr>
          <w:rFonts w:ascii="Times New Roman" w:hAnsi="Times New Roman"/>
          <w:sz w:val="20"/>
        </w:rPr>
        <w:t xml:space="preserve">To determine whether the transfer of the property should be accounted for as a sale, the Company evaluated whether the Company transferred control to the counterparty in accordance with the revenue recognition guidance set forth in ASC 606. The transfer was deemed to be a sale at market terms. Therefore, the Company recognized the transaction price for the sale based on the $31.0 million of cash proceeds received, derecognized the carrying amount of the underlying assets and recognized a pretax gain of $7.1 million. The gain is recognized in Loss (Gain)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Disposition of Assets in the Consolidated Statements of Operations. The real estate leases that the Company leased back are classified as Operating Leases. As of December 31, 2025, the Company included $18.8 million within Operating Lease Right of Use Assets, Net, $0.3 million within Current Portion of Operating Lease Obligations, and $18.7 million within Long-Term Operating Lease Obligations related to these Operating Leases. </w:t>
      </w:r>
    </w:p>
    <w:p>
      <w:pPr>
        <w:pStyle w:val="TextBody"/>
        <w:bidi w:val="0"/>
        <w:spacing w:before="240" w:after="0"/>
        <w:jc w:val="left"/>
        <w:rPr>
          <w:rFonts w:ascii="Times New Roman" w:hAnsi="Times New Roman"/>
          <w:sz w:val="20"/>
        </w:rPr>
      </w:pPr>
      <w:r>
        <w:rPr>
          <w:rFonts w:ascii="Times New Roman" w:hAnsi="Times New Roman"/>
          <w:sz w:val="20"/>
        </w:rPr>
        <w:t xml:space="preserve">Prior to the closing of the Sale Leaseback, the real estate assets included in the Sale Leaseback were pledged as collateral for the Real Estate Loans. See NOTE 9. Upon the closing of the Sale Leaseback, the Company remitted $19.4 million of the proceeds to an irrevocable trust owned by a third party. The Company was legally released from being the primary obligor under the Real Estate Loans. This constituted a legal defeasance (the “Defeasance”), and the Real Estate Loans were extinguished. The Company recognized a pretax loss of $2.8 million on the extinguishment of the Real Estate Loans. The loss is recognized in Loss on Extinguishment of Debt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u w:val="single"/>
        </w:rPr>
        <w:t>Revision of Previously Issued Financial Statements for Correction of Immaterial Error:</w:t>
      </w:r>
      <w:r>
        <w:rPr>
          <w:rFonts w:ascii="Times New Roman" w:hAnsi="Times New Roman"/>
          <w:sz w:val="20"/>
        </w:rPr>
        <w:t xml:space="preserve"> The Company adjusted the previously issued comparative cash flow statement for the year-ended December 31, 2024, to remove $5.4 million of Issuance of Seller Notes from Cash Flows From Financing Activities and adjust Business Acquisitions, Net of Cash Received from $(31.8) million to $(26.4) million within Cash Flows From Investing Activities. This error related to an immaterial misclassification of the issuance of seller notes as a cash inflow. </w:t>
      </w:r>
    </w:p>
    <w:p>
      <w:pPr>
        <w:pStyle w:val="TextBody"/>
        <w:bidi w:val="0"/>
        <w:spacing w:before="240" w:after="0"/>
        <w:jc w:val="left"/>
        <w:rPr>
          <w:rFonts w:ascii="Times New Roman" w:hAnsi="Times New Roman"/>
          <w:sz w:val="20"/>
        </w:rPr>
      </w:pPr>
      <w:r>
        <w:rPr>
          <w:rFonts w:ascii="Times New Roman" w:hAnsi="Times New Roman"/>
          <w:sz w:val="20"/>
          <w:u w:val="single"/>
        </w:rPr>
        <w:t xml:space="preserve">New Accounting Pronouncement Not Adopted as of December 31, 2024: </w:t>
      </w:r>
      <w:r>
        <w:rPr>
          <w:rFonts w:ascii="Times New Roman" w:hAnsi="Times New Roman"/>
          <w:sz w:val="20"/>
        </w:rPr>
        <w:t xml:space="preserve">In December 2023, the FASB issued </w:t>
      </w:r>
      <w:r>
        <w:rPr>
          <w:rFonts w:ascii="Times New Roman" w:hAnsi="Times New Roman"/>
          <w:i/>
          <w:sz w:val="20"/>
        </w:rPr>
        <w:t>ASU 2023-09, Improvements to Income Tax Disclosures</w:t>
      </w:r>
      <w:r>
        <w:rPr>
          <w:rFonts w:ascii="Times New Roman" w:hAnsi="Times New Roman"/>
          <w:sz w:val="20"/>
        </w:rPr>
        <w:t xml:space="preserve">, which intends to provide investors with enhanced information about an entity’s income taxes by requiring disclosure of items such as disaggregation of the effective tax rate reconciliation as well as information regarding income taxes paid. This ASU will result in additional disclosures for annual reporting periods beginning after December 15, 2025, with early adoption permitted for annual financial statements that have not yet been issued. This ASU will result in additional disclosures beginning with our 2026 annual reporting.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FASB issued ASU 2024-03, </w:t>
      </w:r>
      <w:r>
        <w:rPr>
          <w:rFonts w:ascii="Times New Roman" w:hAnsi="Times New Roman"/>
          <w:i/>
          <w:sz w:val="20"/>
        </w:rPr>
        <w:t>Income Statement - Reporting Comprehensive Income - Expense Disaggregation Disclosures (Subtopic 220-40): Disaggregation of Income Statement Expenses</w:t>
      </w:r>
      <w:r>
        <w:rPr>
          <w:rFonts w:ascii="Times New Roman" w:hAnsi="Times New Roman"/>
          <w:sz w:val="20"/>
        </w:rPr>
        <w:t xml:space="preserve">, which requires incremental disclosures about specific expense categories, including but not limited to, purchases of inventory, employee compensation, depreciation, amortization and selling expenses. The amendments are effective for fiscal years beginning after December 15, 2026, and for interim periods within fiscal years beginning after December 15, 2027. Early adoption is permitted and the amendments may be applied either prospectively or retrospectively. Management is currently evaluating this ASU to determine its impact on the Company’s disclosures. The amendments only impact disclosures and are not expected to have an impact on the Company’s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the FASB issued ASU No. 2025-06, Intangibles-Goodwill and Other-Internal-Use Software (Subtopic 350-40): Targeted Improvements to the </w:t>
      </w:r>
      <w:r>
        <w:rPr>
          <w:rFonts w:ascii="Times New Roman" w:hAnsi="Times New Roman"/>
          <w:i/>
          <w:sz w:val="20"/>
        </w:rPr>
        <w:t>Accounting for Internal-Use Software</w:t>
      </w:r>
      <w:r>
        <w:rPr>
          <w:rFonts w:ascii="Times New Roman" w:hAnsi="Times New Roman"/>
          <w:sz w:val="20"/>
        </w:rPr>
        <w:t xml:space="preserve">, to modernize the accounting for software costs, including updating guidance on the recognition and measurement of costs incurred in connection with development and implementation activities related to internal-use software. The standard is effective for all entities for annual periods beginning after December 15, 2027, and interim periods within those annual periods. Early adoption is permitted, and entities may apply the standard prospectively or retrospectively. Management is currently evaluating the impact of adopting this new standard on the Company’s consolidated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Other new accounting pronouncements issued but not effective until after December 31, 2025, are not expected to have a material impact on the Company’s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3 – Revenue </w:t>
      </w:r>
    </w:p>
    <w:p>
      <w:pPr>
        <w:pStyle w:val="TextBody"/>
        <w:bidi w:val="0"/>
        <w:spacing w:before="120" w:after="0"/>
        <w:jc w:val="left"/>
        <w:rPr>
          <w:rFonts w:ascii="Times New Roman" w:hAnsi="Times New Roman"/>
          <w:sz w:val="20"/>
        </w:rPr>
      </w:pPr>
      <w:r>
        <w:rPr>
          <w:rFonts w:ascii="Times New Roman" w:hAnsi="Times New Roman"/>
          <w:sz w:val="20"/>
        </w:rPr>
        <w:t xml:space="preserve">The Operating Subsidiaries operate in a variety of industries and generate revenue from the sale of a diverse mix of product and service offerings. Operating Subsidiaries are not concentrated in a specific industry or geographical region. The Company disaggregates its revenue between sales of products and sales of services in the Consolidated Statements of Operations. There are no material extended payment terms extended to Operating Subsidiary customers. </w:t>
      </w:r>
    </w:p>
    <w:p>
      <w:pPr>
        <w:pStyle w:val="TextBody"/>
        <w:bidi w:val="0"/>
        <w:spacing w:before="240" w:after="0"/>
        <w:jc w:val="left"/>
        <w:rPr>
          <w:rFonts w:ascii="Times New Roman" w:hAnsi="Times New Roman"/>
          <w:sz w:val="20"/>
        </w:rPr>
      </w:pPr>
      <w:r>
        <w:rPr>
          <w:rFonts w:ascii="Times New Roman" w:hAnsi="Times New Roman"/>
          <w:sz w:val="20"/>
        </w:rPr>
        <w:t xml:space="preserve">Operating Subsidiaries that sell products consist primarily of retailers, wholesalers, restaurants, and distributors of tangible products. Predominantly all of these Operating Subsidiaries’ customer arrangements contain a single performance obligation to transfer tangible products. Revenue is recognized when control of tangible products transfers to customers, which coincides with customer acceptance, product shipment, or product delivery, depending on the terms of the arrangement. Transfer of control occurs when legal title, physical possession, and the risks and rewards of ownership transfer to the customer. </w:t>
      </w:r>
    </w:p>
    <w:p>
      <w:pPr>
        <w:pStyle w:val="TextBody"/>
        <w:bidi w:val="0"/>
        <w:spacing w:before="240" w:after="0"/>
        <w:jc w:val="left"/>
        <w:rPr>
          <w:rFonts w:ascii="Times New Roman" w:hAnsi="Times New Roman"/>
          <w:sz w:val="20"/>
        </w:rPr>
      </w:pPr>
      <w:r>
        <w:rPr>
          <w:rFonts w:ascii="Times New Roman" w:hAnsi="Times New Roman"/>
          <w:sz w:val="20"/>
        </w:rPr>
        <w:t xml:space="preserve">Operating Subsidiaries that sell services primarily perform short-term residential and commercial installation and improvement projects, appliance and automotive repair services, and other miscellaneous professional services. Predominantly all of these Operating Subsidiaries’ customer arrangements contain a single performance obligation to deliver the contracted service, and predominantly all of the contracted services are completed over a period of less than one month. The Company generally recognizes revenue from the sale of services as the services are performed over time, which corresponds with the transfer of control to the customer. </w:t>
      </w:r>
    </w:p>
    <w:p>
      <w:pPr>
        <w:pStyle w:val="TextBody"/>
        <w:bidi w:val="0"/>
        <w:spacing w:before="240" w:after="0"/>
        <w:jc w:val="left"/>
        <w:rPr>
          <w:rFonts w:ascii="Times New Roman" w:hAnsi="Times New Roman"/>
          <w:sz w:val="20"/>
        </w:rPr>
      </w:pPr>
      <w:r>
        <w:rPr>
          <w:rFonts w:ascii="Times New Roman" w:hAnsi="Times New Roman"/>
          <w:sz w:val="20"/>
        </w:rPr>
        <w:t xml:space="preserve">The right to invoice practical expedient is utilized when the Company’s right to consideration corresponds directly with the value transferred to the customer. The Company is not required to estimate variable consideration when the right to invoice practical expedient is utilized. When the practical expedient is not available, revenue is recognized over time using a measure of progress that accurately depicts the Company’s performance in transferring control of the promised goods or services, generally with a cost-to-cost input method. </w:t>
      </w:r>
    </w:p>
    <w:p>
      <w:pPr>
        <w:pStyle w:val="TextBody"/>
        <w:bidi w:val="0"/>
        <w:spacing w:before="240" w:after="0"/>
        <w:jc w:val="left"/>
        <w:rPr>
          <w:rFonts w:ascii="Times New Roman" w:hAnsi="Times New Roman"/>
          <w:sz w:val="20"/>
        </w:rPr>
      </w:pPr>
      <w:r>
        <w:rPr>
          <w:rFonts w:ascii="Times New Roman" w:hAnsi="Times New Roman"/>
          <w:sz w:val="20"/>
        </w:rPr>
        <w:t xml:space="preserve">At times, the Company has a right to payment from previous performance that is conditional on something other than the passage of time, such as billings that are contingent on work completed by others, and certain unbilled receivables, which are recognized as Contract Assets. Contract Assets are included in Accounts Receivable, Net on the Consolidated Balance Sheets and were $1.2 million and $0.4 million as of December 31,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Contract liabilities consist of payments received from customers in advance of the Company providing the product or performing services such that control has not passed to the customer. Contract liabilities are included in Deferred Revenue on the Consolidated Balance Sheets, and were $10.1 million and $7.1 million as of December 31, 2025 and 2024, respectively. During the year ended December 31, 2025, the Company recognized $6.1 million of revenue that was included in deferred revenue as of December 31, 2024. During the year ended December 31, 2024, the Company recognized $6.9 million of revenue that was included in deferred revenue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the principal in predominantly all of its transactions with customers because it controls the specified product or service before that product or service is transferred to a customer. In these transactions, the Company recognizes revenue in the gross amount of consideration to which it expects to be entitled in exchange for the specified product or service transferred to a customer. In transactions in which the Company is the agent because it does not control the product or service that is transferred to a customer, the Company recognizes revenue in the amount of any fee or commission to which it expects to be entitled.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assesses each contract for variable consideration. The Company does not estimate variable consideration related to warranty, return and refund obligations as it is minimal and considered immaterial in the aggregate. The Company does not account for warranty liabilities relating to sales with customers since the total warranty obligation arising from sales with customers is immaterial. The Company primarily has assurance-type warranties that do not result in a separate performance obligation.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applies the practical expedient related to costs of obtaining a contract by expensing sales commissions when incurred because the amortization period would have been one year or less as the Company does not have material contracts with amortization periods greater than one year. </w:t>
      </w:r>
    </w:p>
    <w:p>
      <w:pPr>
        <w:pStyle w:val="TextBody"/>
        <w:bidi w:val="0"/>
        <w:spacing w:before="360" w:after="0"/>
        <w:jc w:val="left"/>
        <w:rPr>
          <w:rFonts w:ascii="Times New Roman" w:hAnsi="Times New Roman"/>
          <w:b/>
          <w:sz w:val="20"/>
        </w:rPr>
      </w:pPr>
      <w:r>
        <w:rPr>
          <w:rFonts w:ascii="Times New Roman" w:hAnsi="Times New Roman"/>
          <w:b/>
          <w:sz w:val="20"/>
        </w:rPr>
        <w:t xml:space="preserve">NOTE 4 – 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years ended December 31, 2025 and 2024, respectively, the Company completed nine and seven business combinations. All business combinations completed during the years ended December 31, 2025 and 2024 were individually insignificant. The business combinations that were completed during the year ended December 31, 2025 included three international Operating Subsidiaries. As of December 31, 2024, all Operating Subsidiaries were domiciled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business combinations using the acquisition method, and accordingly, the purchase price has been allocated based upon the fair value of the assets acquired and liabilities assumed.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estimated acquisition date fair values of the aggregate assets acquired and liabilities assumed for the years ended December 31, 2025 and 2024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66"/>
        <w:gridCol w:w="428"/>
        <w:gridCol w:w="215"/>
        <w:gridCol w:w="1244"/>
        <w:gridCol w:w="155"/>
        <w:gridCol w:w="428"/>
        <w:gridCol w:w="241"/>
        <w:gridCol w:w="1218"/>
        <w:gridCol w:w="160"/>
      </w:tblGrid>
      <w:tr>
        <w:trPr/>
        <w:tc>
          <w:tcPr>
            <w:tcW w:w="3666"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6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35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Years Ended</w:t>
            </w:r>
          </w:p>
        </w:tc>
        <w:tc>
          <w:tcPr>
            <w:tcW w:w="160" w:type="dxa"/>
            <w:tcBorders/>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60"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Consideration:</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21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244" w:type="dxa"/>
            <w:tcBorders/>
            <w:vAlign w:val="bottom"/>
          </w:tcPr>
          <w:p>
            <w:pPr>
              <w:pStyle w:val="TableContents"/>
              <w:bidi w:val="0"/>
              <w:spacing w:before="0" w:after="283"/>
              <w:jc w:val="right"/>
              <w:rPr/>
            </w:pPr>
            <w:r>
              <w:rPr/>
              <w:t>95,419</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218" w:type="dxa"/>
            <w:tcBorders/>
            <w:vAlign w:val="bottom"/>
          </w:tcPr>
          <w:p>
            <w:pPr>
              <w:pStyle w:val="TableContents"/>
              <w:bidi w:val="0"/>
              <w:spacing w:before="0" w:after="283"/>
              <w:jc w:val="right"/>
              <w:rPr/>
            </w:pPr>
            <w:r>
              <w:rPr/>
              <w:t>24,532</w:t>
            </w:r>
          </w:p>
        </w:tc>
        <w:tc>
          <w:tcPr>
            <w:tcW w:w="160"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Former Owner Bridge Loan</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13,000</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Seller Notes at fair value</w:t>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16,157</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3,389</w:t>
            </w:r>
          </w:p>
        </w:tc>
        <w:tc>
          <w:tcPr>
            <w:tcW w:w="160"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6,182</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350</w:t>
            </w:r>
          </w:p>
        </w:tc>
        <w:tc>
          <w:tcPr>
            <w:tcW w:w="160" w:type="dxa"/>
            <w:tcBorders/>
            <w:shd w:fill="CCEEFF" w:val="clear"/>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1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Total consideration transferred</w:t>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244" w:type="dxa"/>
            <w:tcBorders/>
            <w:vAlign w:val="bottom"/>
          </w:tcPr>
          <w:p>
            <w:pPr>
              <w:pStyle w:val="TableContents"/>
              <w:bidi w:val="0"/>
              <w:spacing w:before="0" w:after="283"/>
              <w:jc w:val="right"/>
              <w:rPr/>
            </w:pPr>
            <w:r>
              <w:rPr/>
              <w:t>130,757</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218" w:type="dxa"/>
            <w:tcBorders/>
            <w:vAlign w:val="bottom"/>
          </w:tcPr>
          <w:p>
            <w:pPr>
              <w:pStyle w:val="TableContents"/>
              <w:bidi w:val="0"/>
              <w:spacing w:before="0" w:after="283"/>
              <w:jc w:val="right"/>
              <w:rPr/>
            </w:pPr>
            <w:r>
              <w:rPr/>
              <w:t>28,271</w:t>
            </w:r>
          </w:p>
        </w:tc>
        <w:tc>
          <w:tcPr>
            <w:tcW w:w="160"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assets acquired and liabilities assumed:</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21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9,159</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1,109</w:t>
            </w:r>
          </w:p>
        </w:tc>
        <w:tc>
          <w:tcPr>
            <w:tcW w:w="160"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2,831</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601</w:t>
            </w:r>
          </w:p>
        </w:tc>
        <w:tc>
          <w:tcPr>
            <w:tcW w:w="160"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14,689</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6,243</w:t>
            </w:r>
          </w:p>
        </w:tc>
        <w:tc>
          <w:tcPr>
            <w:tcW w:w="160"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&amp; other assets</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5,469</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150</w:t>
            </w:r>
          </w:p>
        </w:tc>
        <w:tc>
          <w:tcPr>
            <w:tcW w:w="160"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5,573</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1,412</w:t>
            </w:r>
          </w:p>
        </w:tc>
        <w:tc>
          <w:tcPr>
            <w:tcW w:w="160"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related intangibles</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6,080</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6,964</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2,598</w:t>
            </w:r>
          </w:p>
        </w:tc>
        <w:tc>
          <w:tcPr>
            <w:tcW w:w="160"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Real estate</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3,604</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Right of use assets</w:t>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32,946</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9,236</w:t>
            </w:r>
          </w:p>
        </w:tc>
        <w:tc>
          <w:tcPr>
            <w:tcW w:w="160"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&amp; accrued liabilities</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(19,875</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(2,860</w:t>
            </w:r>
          </w:p>
        </w:tc>
        <w:tc>
          <w:tcPr>
            <w:tcW w:w="160"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(32,946</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(9,236</w:t>
            </w:r>
          </w:p>
        </w:tc>
        <w:tc>
          <w:tcPr>
            <w:tcW w:w="160"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(4,075</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1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Total identifiable assets acquired, net</w:t>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30,418</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9,252</w:t>
            </w:r>
          </w:p>
        </w:tc>
        <w:tc>
          <w:tcPr>
            <w:tcW w:w="160" w:type="dxa"/>
            <w:tcBorders/>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1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2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100,339</w:t>
            </w:r>
          </w:p>
        </w:tc>
        <w:tc>
          <w:tcPr>
            <w:tcW w:w="155"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218" w:type="dxa"/>
            <w:tcBorders/>
            <w:shd w:fill="CCEEFF" w:val="clear"/>
            <w:vAlign w:val="bottom"/>
          </w:tcPr>
          <w:p>
            <w:pPr>
              <w:pStyle w:val="TableContents"/>
              <w:bidi w:val="0"/>
              <w:spacing w:before="0" w:after="283"/>
              <w:jc w:val="right"/>
              <w:rPr/>
            </w:pPr>
            <w:r>
              <w:rPr/>
              <w:t>19,018</w:t>
            </w:r>
          </w:p>
        </w:tc>
        <w:tc>
          <w:tcPr>
            <w:tcW w:w="160" w:type="dxa"/>
            <w:tcBorders/>
            <w:shd w:fill="CCEEFF" w:val="clear"/>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1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Seller Notes and the Former Owner Bridge Loan are forms of noncash consideration paid to the sellers of certain businesses, and are therefore are disclosed as non-cash investing activities in the Consolidated Statements of Cash Flows. See NOTE 9. The principal balance of the Seller Notes included in the table above was $20.6 million and $5.4 million during the year ended December 31, 2025 and 2024, respectively. The fair value of the Former Owner Bridge Loan approximates its principal balance.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acquired 100% of the voting equity interests of all of the Operating Subsidiaries acquired during the years ended December 31, 2025 and 2024. The Company owns preferred stock in each acquired Operating Subsidiary, and the preferred stock owned by the Company has a liquidation preference over common stockholders of each Operating Subsidiary in case of a liquidation event. The liquidation preference is equal to the price per share on the acquisition date adjusted for any additional contributions, stock splits, stock dividends, or similar transactions. The Company also controls the board of directors for each of the Operating Subsidiaries. </w:t>
      </w:r>
    </w:p>
    <w:p>
      <w:pPr>
        <w:pStyle w:val="TextBody"/>
        <w:bidi w:val="0"/>
        <w:spacing w:before="240" w:after="0"/>
        <w:jc w:val="left"/>
        <w:rPr>
          <w:rFonts w:ascii="Times New Roman" w:hAnsi="Times New Roman"/>
          <w:sz w:val="20"/>
        </w:rPr>
      </w:pPr>
      <w:r>
        <w:rPr>
          <w:rFonts w:ascii="Times New Roman" w:hAnsi="Times New Roman"/>
          <w:sz w:val="20"/>
        </w:rPr>
        <w:t xml:space="preserve">Certain historical acquisitions prior to 2023 were acquired for 90% in cash and the issuance of preferred stock to the former owners equal to 10% of all the issued and outstanding stock of the Operating Subsidiaries, calculated on a fully diluted and as-converted basis (the “Rollover Shares”), as of the acquisition date. Rollover Shares are classified as Redeemable Noncontrolling Interests outside of permanent equity in the Company’s Consolidated Balance Sheets. During the year ended December 31, 2025, the Company paid $1.4 million to repurchase Rollover Shares held by the former owners of certain Operating Subsidiaries. In comparison, during the year ended December 31, 2024, the Company paid $2.3 million to repurchase Rollover Shares held by the former owners of certain Operating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acquisitions completed during the years ended December 31, 2025 and 2024 were funded by borrowings under the Company’s credit facilities, cash on hand, and the issuance of debt. See NOTE 9.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combinations resulted in goodwill totaling $100.3 million and $19.0 million for the years ended December 31, 2025 and 2024, respectively. All of the goodwill that was acquired during the years ended December 31, 2025 and 2024 was assigned to the Small Business Acquisitions reportable segment. Of the goodwill generated from these business combinations, $51.4 million and $12.3 million is deductible for tax purposes, while $48.9 million and $6.7 million of the generated goodwill is not deductible for tax purposes for the years ended December 31, 2025 and 2024, respectively. The determination of the final purchase price allocation to specific assets acquired and liabilities assumed may be subject to change during the measurement period up to one year following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2025, the Company did not record any material measurement period adjustments to Operating Subsidiaries acquired during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2025, the Company recognized $79.4 million of Revenue and $7.1 million of Net Income Attributable to Teamshares Inc. in the Consolidated Statements of Operations related to the 9 Operating Subsidiaries acquired during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recognized $35.3 million of Revenue and $4.9 million of Net Income Attributable to Teamshares Inc. in the Consolidated Statements of Operations during the year ended December 31, 2025, and $11.4 million of revenue and $1.4 million of Net Income Attributable to Teamshares Inc. in the Consolidated Statements of Operations related to the 7 Operating Subsidiaries acquired during the year ended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summarizes the unaudited pro forma condensed financial information of the Company as if all business combinations during the years ended December 31, 2025 and 2024 had occurred on January 1, 2024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72"/>
        <w:gridCol w:w="453"/>
        <w:gridCol w:w="210"/>
        <w:gridCol w:w="1221"/>
        <w:gridCol w:w="155"/>
        <w:gridCol w:w="453"/>
        <w:gridCol w:w="210"/>
        <w:gridCol w:w="1221"/>
        <w:gridCol w:w="160"/>
      </w:tblGrid>
      <w:tr>
        <w:trPr/>
        <w:tc>
          <w:tcPr>
            <w:tcW w:w="3672" w:type="dxa"/>
            <w:tcBorders/>
            <w:vAlign w:val="center"/>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72"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br/>
              <w:t>2025</w:t>
            </w:r>
            <w:r>
              <w:rPr/>
              <w:br/>
            </w:r>
            <w:r>
              <w:rPr>
                <w:b/>
              </w:rPr>
              <w:t>(Unaudited)</w:t>
            </w:r>
          </w:p>
        </w:tc>
        <w:tc>
          <w:tcPr>
            <w:tcW w:w="15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br/>
              <w:t>2024</w:t>
            </w:r>
            <w:r>
              <w:rPr/>
              <w:br/>
            </w:r>
            <w:r>
              <w:rPr>
                <w:b/>
              </w:rPr>
              <w:t>(Unaudited)</w:t>
            </w:r>
          </w:p>
        </w:tc>
        <w:tc>
          <w:tcPr>
            <w:tcW w:w="160" w:type="dxa"/>
            <w:tcBorders/>
            <w:vAlign w:val="bottom"/>
          </w:tcPr>
          <w:p>
            <w:pPr>
              <w:pStyle w:val="TableContents"/>
              <w:bidi w:val="0"/>
              <w:spacing w:before="0" w:after="283"/>
              <w:jc w:val="left"/>
              <w:rPr/>
            </w:pPr>
            <w:r>
              <w:rPr/>
              <w:t> </w:t>
            </w:r>
          </w:p>
        </w:tc>
      </w:tr>
      <w:tr>
        <w:trPr/>
        <w:tc>
          <w:tcPr>
            <w:tcW w:w="36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45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541,344</w:t>
            </w:r>
          </w:p>
        </w:tc>
        <w:tc>
          <w:tcPr>
            <w:tcW w:w="155"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563,618</w:t>
            </w:r>
          </w:p>
        </w:tc>
        <w:tc>
          <w:tcPr>
            <w:tcW w:w="160" w:type="dxa"/>
            <w:tcBorders/>
            <w:shd w:fill="CCEEFF" w:val="clear"/>
            <w:vAlign w:val="bottom"/>
          </w:tcPr>
          <w:p>
            <w:pPr>
              <w:pStyle w:val="TableContents"/>
              <w:bidi w:val="0"/>
              <w:spacing w:before="0" w:after="283"/>
              <w:jc w:val="left"/>
              <w:rPr/>
            </w:pPr>
            <w:r>
              <w:rPr/>
              <w:t> </w:t>
            </w:r>
          </w:p>
        </w:tc>
      </w:tr>
      <w:tr>
        <w:trPr/>
        <w:tc>
          <w:tcPr>
            <w:tcW w:w="3672"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 (1)</w:t>
            </w:r>
          </w:p>
        </w:tc>
        <w:tc>
          <w:tcPr>
            <w:tcW w:w="45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(15,349</w:t>
            </w:r>
          </w:p>
        </w:tc>
        <w:tc>
          <w:tcPr>
            <w:tcW w:w="15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(32,531</w:t>
            </w:r>
          </w:p>
        </w:tc>
        <w:tc>
          <w:tcPr>
            <w:tcW w:w="160" w:type="dxa"/>
            <w:tcBorders/>
            <w:vAlign w:val="bottom"/>
          </w:tcPr>
          <w:p>
            <w:pPr>
              <w:pStyle w:val="TableContents"/>
              <w:bidi w:val="0"/>
              <w:spacing w:before="0" w:after="283"/>
              <w:jc w:val="left"/>
              <w:rPr/>
            </w:pPr>
            <w:r>
              <w:rPr/>
              <w:t>) </w:t>
            </w:r>
          </w:p>
        </w:tc>
      </w:tr>
      <w:tr>
        <w:trPr/>
        <w:tc>
          <w:tcPr>
            <w:tcW w:w="36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(2)</w:t>
            </w:r>
          </w:p>
        </w:tc>
        <w:tc>
          <w:tcPr>
            <w:tcW w:w="45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(54,612</w:t>
            </w:r>
          </w:p>
        </w:tc>
        <w:tc>
          <w:tcPr>
            <w:tcW w:w="155"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(65,994</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adjustments increased Depreciation by $0.6 million and Amortization by $0.4 million during the year ended December 31, 2025 compared to the Consolidated Statement of Operations. Pro forma adjustments increased Depreciation by $1.7 million and Amortization by $0.7 million during the year ended December 31, 2024 compared to the Consolidated Statement of Operations.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adjustments increased Interest Expense, Net by $4.0 million during the year ended December 31, 2025 compared to the Consolidated Statement of Operations. Pro forma adjustments increased Interest Expense, Net by $7.1 million during the year ended December 31, 2024 compared to the Consolidated Statement of Operations. Pro forma adjustments did not impact Income Tax Expense during the years ended December 31, 2025 or 2024.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Earnout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contingent consideration liabilities related to earnout agreements in certain of its business combinations. The terms of the earnout agreements vary but typically consist of a payout equal to a future percentage of a financial metric (typically revenue or a specified profitability metric) for a determined period of time (usually 1-6 years subsequent to the acquisition date). The Company estimates the future consideration payable related to the earnout agreements and includes it as a current or long-term contingent consideration liability in the Consolidated Balance Sheets. Changes to the fair value of the earnouts are recognized in Non-Operating (Expense) Income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respectively, the fair value of the contingent consideration liability related to the earnout agreements was $9.2 million and $3.7 million. As of December 31, 2025 and 2024, respectively, $3.2 million and $1.8 million is considered a current liability expected to be paid out in the next year, and $6.0 million and $1.9 million is considered a long-term liability expected to be paid out more than a year from the reporting date. The Company recognized losses of $1.3 million and $0.1 million related to the changes in fair value of the earnout agreements during the years ended December 31,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31 Operating Subsidiaries with contingent consideration liabilities, which all contain a cap on the maximum amount of contingent consideration payable. As of December 31, 2025, the maximum amount of contingent consideration payable in the future for the 31 Operating Subsidiaries totaled $34.0 million.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2025 and 2024, respectively, the Company made payments related to the earnout agreements of $2.1 million and $3.8 million. Contingent consideration payments were not made soon after the applicable acquisition date and therefore are recognized as financing activities in the Consolidated Statements of Cash Flows, up to the estimated fair value of the obligation as of the acquisition date. Payments in excess of the original acquisition date fair value are recognized as operating activities in the Consolidated Statements of Cash Flows. The Company recognized $1.5 million and $2.2 million of payments related to earnout agreements as operating activities, and $0.5 million and $1.6 million of payments related to earnout agreements as financing activities in the Consolidated Statements of Cash Flows during the years ended December 31, 2025 and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5 – Restructuring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incurred $1.0 million and $2.6 million of restructuring costs related to employee termination benefits to support corporate cost reduction initiatives during the years ended December 31, 2025 and 2024, respectively. Expenses related to employee termination benefits are recognized in Selling, General, and Administrative Expenses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Ten Operating Subsidiaries within the Small Business Acquisitions reportable segment ceased operations during the year ended December 31, 2025, and three Operating Subsidiaries within the Small Business Acquisitions reportable segment ceased operations during the year ended December 31, 2024. These Operating Subsidiaries ceased operations based on the Company’s assessment of their business performance and outlook. These Operating Subsidiaries primarily relate to businesses that no longer meet the Company’s underwriting criteria, including fixed price construction and subscale businesses. </w:t>
      </w:r>
    </w:p>
    <w:p>
      <w:pPr>
        <w:pStyle w:val="TextBody"/>
        <w:bidi w:val="0"/>
        <w:spacing w:before="360" w:after="0"/>
        <w:jc w:val="left"/>
        <w:rPr>
          <w:rFonts w:ascii="Times New Roman" w:hAnsi="Times New Roman"/>
          <w:b/>
          <w:sz w:val="20"/>
        </w:rPr>
      </w:pPr>
      <w:r>
        <w:rPr>
          <w:rFonts w:ascii="Times New Roman" w:hAnsi="Times New Roman"/>
          <w:b/>
          <w:sz w:val="20"/>
        </w:rPr>
        <w:t xml:space="preserve">NOTE 6 – 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02"/>
        <w:gridCol w:w="498"/>
        <w:gridCol w:w="241"/>
        <w:gridCol w:w="1225"/>
        <w:gridCol w:w="60"/>
        <w:gridCol w:w="498"/>
        <w:gridCol w:w="241"/>
        <w:gridCol w:w="1225"/>
        <w:gridCol w:w="65"/>
      </w:tblGrid>
      <w:tr>
        <w:trPr/>
        <w:tc>
          <w:tcPr>
            <w:tcW w:w="3702" w:type="dxa"/>
            <w:tcBorders/>
            <w:vAlign w:val="center"/>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702"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5"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49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1,439</w:t>
            </w:r>
          </w:p>
        </w:tc>
        <w:tc>
          <w:tcPr>
            <w:tcW w:w="60"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1,469</w:t>
            </w:r>
          </w:p>
        </w:tc>
        <w:tc>
          <w:tcPr>
            <w:tcW w:w="65"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49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886</w:t>
            </w:r>
          </w:p>
        </w:tc>
        <w:tc>
          <w:tcPr>
            <w:tcW w:w="60"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572</w:t>
            </w:r>
          </w:p>
        </w:tc>
        <w:tc>
          <w:tcPr>
            <w:tcW w:w="65"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49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44,079</w:t>
            </w:r>
          </w:p>
        </w:tc>
        <w:tc>
          <w:tcPr>
            <w:tcW w:w="60"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28,222</w:t>
            </w:r>
          </w:p>
        </w:tc>
        <w:tc>
          <w:tcPr>
            <w:tcW w:w="65"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Total inventories</w:t>
            </w:r>
          </w:p>
        </w:tc>
        <w:tc>
          <w:tcPr>
            <w:tcW w:w="49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46,405</w:t>
            </w:r>
          </w:p>
        </w:tc>
        <w:tc>
          <w:tcPr>
            <w:tcW w:w="60"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30,263</w:t>
            </w:r>
          </w:p>
        </w:tc>
        <w:tc>
          <w:tcPr>
            <w:tcW w:w="65"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7 – Property, Plant,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net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27"/>
        <w:gridCol w:w="461"/>
        <w:gridCol w:w="222"/>
        <w:gridCol w:w="1224"/>
        <w:gridCol w:w="155"/>
        <w:gridCol w:w="461"/>
        <w:gridCol w:w="222"/>
        <w:gridCol w:w="1224"/>
        <w:gridCol w:w="159"/>
      </w:tblGrid>
      <w:tr>
        <w:trPr/>
        <w:tc>
          <w:tcPr>
            <w:tcW w:w="3627"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27"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9" w:type="dxa"/>
            <w:tcBorders/>
            <w:vAlign w:val="bottom"/>
          </w:tcPr>
          <w:p>
            <w:pPr>
              <w:pStyle w:val="TableContents"/>
              <w:bidi w:val="0"/>
              <w:spacing w:before="0" w:after="283"/>
              <w:jc w:val="left"/>
              <w:rPr/>
            </w:pPr>
            <w:r>
              <w:rPr/>
              <w:t> </w:t>
            </w:r>
          </w:p>
        </w:tc>
      </w:tr>
      <w:tr>
        <w:trPr/>
        <w:tc>
          <w:tcPr>
            <w:tcW w:w="3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9,003</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9,517</w:t>
            </w:r>
          </w:p>
        </w:tc>
        <w:tc>
          <w:tcPr>
            <w:tcW w:w="159" w:type="dxa"/>
            <w:tcBorders/>
            <w:shd w:fill="CCEEFF" w:val="clear"/>
            <w:vAlign w:val="bottom"/>
          </w:tcPr>
          <w:p>
            <w:pPr>
              <w:pStyle w:val="TableContents"/>
              <w:bidi w:val="0"/>
              <w:spacing w:before="0" w:after="283"/>
              <w:jc w:val="left"/>
              <w:rPr/>
            </w:pPr>
            <w:r>
              <w:rPr/>
              <w:t> </w:t>
            </w:r>
          </w:p>
        </w:tc>
      </w:tr>
      <w:tr>
        <w:trPr/>
        <w:tc>
          <w:tcPr>
            <w:tcW w:w="3627" w:type="dxa"/>
            <w:tcBorders/>
          </w:tcPr>
          <w:p>
            <w:pPr>
              <w:pStyle w:val="TableContents"/>
              <w:bidi w:val="0"/>
              <w:spacing w:before="0" w:after="0"/>
              <w:jc w:val="left"/>
              <w:rPr>
                <w:rFonts w:ascii="Times New Roman" w:hAnsi="Times New Roman"/>
                <w:sz w:val="20"/>
              </w:rPr>
            </w:pPr>
            <w:r>
              <w:rPr>
                <w:rFonts w:ascii="Times New Roman" w:hAnsi="Times New Roman"/>
                <w:sz w:val="20"/>
              </w:rPr>
              <w:t>Computers and equipment</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11,697</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10,495</w:t>
            </w:r>
          </w:p>
        </w:tc>
        <w:tc>
          <w:tcPr>
            <w:tcW w:w="159" w:type="dxa"/>
            <w:tcBorders/>
            <w:vAlign w:val="bottom"/>
          </w:tcPr>
          <w:p>
            <w:pPr>
              <w:pStyle w:val="TableContents"/>
              <w:bidi w:val="0"/>
              <w:spacing w:before="0" w:after="283"/>
              <w:jc w:val="left"/>
              <w:rPr/>
            </w:pPr>
            <w:r>
              <w:rPr/>
              <w:t> </w:t>
            </w:r>
          </w:p>
        </w:tc>
      </w:tr>
      <w:tr>
        <w:trPr/>
        <w:tc>
          <w:tcPr>
            <w:tcW w:w="3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4,228</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2,958</w:t>
            </w:r>
          </w:p>
        </w:tc>
        <w:tc>
          <w:tcPr>
            <w:tcW w:w="159" w:type="dxa"/>
            <w:tcBorders/>
            <w:shd w:fill="CCEEFF" w:val="clear"/>
            <w:vAlign w:val="bottom"/>
          </w:tcPr>
          <w:p>
            <w:pPr>
              <w:pStyle w:val="TableContents"/>
              <w:bidi w:val="0"/>
              <w:spacing w:before="0" w:after="283"/>
              <w:jc w:val="left"/>
              <w:rPr/>
            </w:pPr>
            <w:r>
              <w:rPr/>
              <w:t> </w:t>
            </w:r>
          </w:p>
        </w:tc>
      </w:tr>
      <w:tr>
        <w:trPr/>
        <w:tc>
          <w:tcPr>
            <w:tcW w:w="3627" w:type="dxa"/>
            <w:tcBorders/>
          </w:tcPr>
          <w:p>
            <w:pPr>
              <w:pStyle w:val="TableContents"/>
              <w:bidi w:val="0"/>
              <w:spacing w:before="0" w:after="0"/>
              <w:jc w:val="left"/>
              <w:rPr>
                <w:rFonts w:ascii="Times New Roman" w:hAnsi="Times New Roman"/>
                <w:sz w:val="20"/>
              </w:rPr>
            </w:pPr>
            <w:r>
              <w:rPr>
                <w:rFonts w:ascii="Times New Roman" w:hAnsi="Times New Roman"/>
                <w:sz w:val="20"/>
              </w:rPr>
              <w:t>Third-party software</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2,077</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910</w:t>
            </w:r>
          </w:p>
        </w:tc>
        <w:tc>
          <w:tcPr>
            <w:tcW w:w="159" w:type="dxa"/>
            <w:tcBorders/>
            <w:vAlign w:val="bottom"/>
          </w:tcPr>
          <w:p>
            <w:pPr>
              <w:pStyle w:val="TableContents"/>
              <w:bidi w:val="0"/>
              <w:spacing w:before="0" w:after="283"/>
              <w:jc w:val="left"/>
              <w:rPr/>
            </w:pPr>
            <w:r>
              <w:rPr/>
              <w:t> </w:t>
            </w:r>
          </w:p>
        </w:tc>
      </w:tr>
      <w:tr>
        <w:trPr/>
        <w:tc>
          <w:tcPr>
            <w:tcW w:w="3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10,148</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6,097</w:t>
            </w:r>
          </w:p>
        </w:tc>
        <w:tc>
          <w:tcPr>
            <w:tcW w:w="159" w:type="dxa"/>
            <w:tcBorders/>
            <w:shd w:fill="CCEEFF" w:val="clear"/>
            <w:vAlign w:val="bottom"/>
          </w:tcPr>
          <w:p>
            <w:pPr>
              <w:pStyle w:val="TableContents"/>
              <w:bidi w:val="0"/>
              <w:spacing w:before="0" w:after="283"/>
              <w:jc w:val="left"/>
              <w:rPr/>
            </w:pPr>
            <w:r>
              <w:rPr/>
              <w:t> </w:t>
            </w:r>
          </w:p>
        </w:tc>
      </w:tr>
      <w:tr>
        <w:trPr/>
        <w:tc>
          <w:tcPr>
            <w:tcW w:w="3627" w:type="dxa"/>
            <w:tcBorders/>
          </w:tcPr>
          <w:p>
            <w:pPr>
              <w:pStyle w:val="TableContents"/>
              <w:bidi w:val="0"/>
              <w:spacing w:before="0" w:after="0"/>
              <w:jc w:val="left"/>
              <w:rPr>
                <w:rFonts w:ascii="Times New Roman" w:hAnsi="Times New Roman"/>
                <w:sz w:val="20"/>
              </w:rPr>
            </w:pPr>
            <w:r>
              <w:rPr>
                <w:rFonts w:ascii="Times New Roman" w:hAnsi="Times New Roman"/>
                <w:sz w:val="20"/>
              </w:rPr>
              <w:t>Buildings</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3,196</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18,141</w:t>
            </w:r>
          </w:p>
        </w:tc>
        <w:tc>
          <w:tcPr>
            <w:tcW w:w="159" w:type="dxa"/>
            <w:tcBorders/>
            <w:vAlign w:val="bottom"/>
          </w:tcPr>
          <w:p>
            <w:pPr>
              <w:pStyle w:val="TableContents"/>
              <w:bidi w:val="0"/>
              <w:spacing w:before="0" w:after="283"/>
              <w:jc w:val="left"/>
              <w:rPr/>
            </w:pPr>
            <w:r>
              <w:rPr/>
              <w:t> </w:t>
            </w:r>
          </w:p>
        </w:tc>
      </w:tr>
      <w:tr>
        <w:trPr/>
        <w:tc>
          <w:tcPr>
            <w:tcW w:w="3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3,484</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9,105</w:t>
            </w:r>
          </w:p>
        </w:tc>
        <w:tc>
          <w:tcPr>
            <w:tcW w:w="159" w:type="dxa"/>
            <w:tcBorders/>
            <w:shd w:fill="CCEEFF" w:val="clear"/>
            <w:vAlign w:val="bottom"/>
          </w:tcPr>
          <w:p>
            <w:pPr>
              <w:pStyle w:val="TableContents"/>
              <w:bidi w:val="0"/>
              <w:spacing w:before="0" w:after="283"/>
              <w:jc w:val="left"/>
              <w:rPr/>
            </w:pPr>
            <w:r>
              <w:rPr/>
              <w:t> </w:t>
            </w:r>
          </w:p>
        </w:tc>
      </w:tr>
      <w:tr>
        <w:trPr/>
        <w:tc>
          <w:tcPr>
            <w:tcW w:w="3627" w:type="dxa"/>
            <w:tcBorders/>
          </w:tcPr>
          <w:p>
            <w:pPr>
              <w:pStyle w:val="TableContents"/>
              <w:bidi w:val="0"/>
              <w:spacing w:before="0" w:after="0"/>
              <w:jc w:val="left"/>
              <w:rPr>
                <w:rFonts w:ascii="Times New Roman" w:hAnsi="Times New Roman"/>
                <w:sz w:val="20"/>
              </w:rPr>
            </w:pPr>
            <w:r>
              <w:rPr>
                <w:rFonts w:ascii="Times New Roman" w:hAnsi="Times New Roman"/>
                <w:sz w:val="20"/>
              </w:rPr>
              <w:t>Other fixed assets</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905</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489</w:t>
            </w:r>
          </w:p>
        </w:tc>
        <w:tc>
          <w:tcPr>
            <w:tcW w:w="159" w:type="dxa"/>
            <w:tcBorders/>
            <w:vAlign w:val="bottom"/>
          </w:tcPr>
          <w:p>
            <w:pPr>
              <w:pStyle w:val="TableContents"/>
              <w:bidi w:val="0"/>
              <w:spacing w:before="0" w:after="283"/>
              <w:jc w:val="left"/>
              <w:rPr/>
            </w:pPr>
            <w:r>
              <w:rPr/>
              <w:t> </w:t>
            </w:r>
          </w:p>
        </w:tc>
      </w:tr>
      <w:tr>
        <w:trPr/>
        <w:tc>
          <w:tcPr>
            <w:tcW w:w="3627"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property, plant, and equipment, gross</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44,737</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57,712</w:t>
            </w:r>
          </w:p>
        </w:tc>
        <w:tc>
          <w:tcPr>
            <w:tcW w:w="159" w:type="dxa"/>
            <w:tcBorders/>
            <w:shd w:fill="CCEEFF" w:val="clear"/>
            <w:vAlign w:val="bottom"/>
          </w:tcPr>
          <w:p>
            <w:pPr>
              <w:pStyle w:val="TableContents"/>
              <w:bidi w:val="0"/>
              <w:spacing w:before="0" w:after="283"/>
              <w:jc w:val="left"/>
              <w:rPr/>
            </w:pPr>
            <w:r>
              <w:rPr/>
              <w:t> </w:t>
            </w:r>
          </w:p>
        </w:tc>
      </w:tr>
      <w:tr>
        <w:trPr/>
        <w:tc>
          <w:tcPr>
            <w:tcW w:w="3627"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(14,694</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(12,673</w:t>
            </w:r>
          </w:p>
        </w:tc>
        <w:tc>
          <w:tcPr>
            <w:tcW w:w="159" w:type="dxa"/>
            <w:tcBorders/>
            <w:vAlign w:val="bottom"/>
          </w:tcPr>
          <w:p>
            <w:pPr>
              <w:pStyle w:val="TableContents"/>
              <w:bidi w:val="0"/>
              <w:spacing w:before="0" w:after="283"/>
              <w:jc w:val="left"/>
              <w:rPr/>
            </w:pPr>
            <w:r>
              <w:rPr/>
              <w:t>) </w:t>
            </w:r>
          </w:p>
        </w:tc>
      </w:tr>
      <w:tr>
        <w:trPr/>
        <w:tc>
          <w:tcPr>
            <w:tcW w:w="3627"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property, plant, and equipment, net</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30,043</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45,039</w:t>
            </w:r>
          </w:p>
        </w:tc>
        <w:tc>
          <w:tcPr>
            <w:tcW w:w="159" w:type="dxa"/>
            <w:tcBorders/>
            <w:shd w:fill="CCEEFF" w:val="clear"/>
            <w:vAlign w:val="bottom"/>
          </w:tcPr>
          <w:p>
            <w:pPr>
              <w:pStyle w:val="TableContents"/>
              <w:bidi w:val="0"/>
              <w:spacing w:before="0" w:after="283"/>
              <w:jc w:val="left"/>
              <w:rPr/>
            </w:pPr>
            <w:r>
              <w:rPr/>
              <w:t> </w:t>
            </w:r>
          </w:p>
        </w:tc>
      </w:tr>
      <w:tr>
        <w:trPr/>
        <w:tc>
          <w:tcPr>
            <w:tcW w:w="3627"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related to property, plant and equipment was $5.2 million and $5.4 million for the years ended December 31, 2025 and 2024, respectively. This includes $2.2 million and $1.7 million of depreciation expense recognized in Cost of Revenue during the years ended December 31, 2025 and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8 – Goodwill and Intangible Assets </w:t>
      </w:r>
    </w:p>
    <w:p>
      <w:pPr>
        <w:pStyle w:val="TextBody"/>
        <w:bidi w:val="0"/>
        <w:spacing w:before="120" w:after="0"/>
        <w:jc w:val="left"/>
        <w:rPr>
          <w:rFonts w:ascii="Times New Roman" w:hAnsi="Times New Roman"/>
          <w:b/>
          <w:sz w:val="20"/>
        </w:rPr>
      </w:pPr>
      <w:r>
        <w:rPr>
          <w:rFonts w:ascii="Times New Roman" w:hAnsi="Times New Roman"/>
          <w:b/>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Goodwill arising from acquisitions primarily relates to the reputation the Operating Subsidiaries have established within local communities, strength of their customer bases, and assembled workforce that will remain after the business combination is completed.</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changes in the carrying amount of the Company’s goodwill. All goodwill is reported within the Small Business Acquisitions segment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73"/>
        <w:gridCol w:w="460"/>
        <w:gridCol w:w="145"/>
        <w:gridCol w:w="902"/>
        <w:gridCol w:w="159"/>
      </w:tblGrid>
      <w:tr>
        <w:trPr/>
        <w:tc>
          <w:tcPr>
            <w:tcW w:w="5273" w:type="dxa"/>
            <w:tcBorders/>
            <w:vAlign w:val="center"/>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2024</w:t>
            </w:r>
          </w:p>
        </w:tc>
        <w:tc>
          <w:tcPr>
            <w:tcW w:w="4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160,069</w:t>
            </w:r>
          </w:p>
        </w:tc>
        <w:tc>
          <w:tcPr>
            <w:tcW w:w="159" w:type="dxa"/>
            <w:tcBorders/>
            <w:shd w:fill="CCEEFF" w:val="clear"/>
            <w:vAlign w:val="bottom"/>
          </w:tcPr>
          <w:p>
            <w:pPr>
              <w:pStyle w:val="TableContents"/>
              <w:bidi w:val="0"/>
              <w:spacing w:before="0" w:after="283"/>
              <w:jc w:val="left"/>
              <w:rPr/>
            </w:pPr>
            <w:r>
              <w:rPr/>
              <w:t> </w:t>
            </w:r>
          </w:p>
        </w:tc>
      </w:tr>
      <w:tr>
        <w:trPr/>
        <w:tc>
          <w:tcPr>
            <w:tcW w:w="5273" w:type="dxa"/>
            <w:tcBorders/>
          </w:tcPr>
          <w:p>
            <w:pPr>
              <w:pStyle w:val="TableContents"/>
              <w:bidi w:val="0"/>
              <w:spacing w:before="0" w:after="0"/>
              <w:jc w:val="left"/>
              <w:rPr>
                <w:rFonts w:ascii="Times New Roman" w:hAnsi="Times New Roman"/>
                <w:sz w:val="20"/>
              </w:rPr>
            </w:pPr>
            <w:r>
              <w:rPr>
                <w:rFonts w:ascii="Times New Roman" w:hAnsi="Times New Roman"/>
                <w:sz w:val="20"/>
              </w:rPr>
              <w:t>Goodwill as a result of acquisitions</w:t>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19,018</w:t>
            </w:r>
          </w:p>
        </w:tc>
        <w:tc>
          <w:tcPr>
            <w:tcW w:w="159" w:type="dxa"/>
            <w:tcBorders/>
            <w:vAlign w:val="bottom"/>
          </w:tcPr>
          <w:p>
            <w:pPr>
              <w:pStyle w:val="TableContents"/>
              <w:bidi w:val="0"/>
              <w:spacing w:before="0" w:after="283"/>
              <w:jc w:val="left"/>
              <w:rPr/>
            </w:pPr>
            <w:r>
              <w:rPr/>
              <w:t> </w:t>
            </w:r>
          </w:p>
        </w:tc>
      </w:tr>
      <w:tr>
        <w:trPr/>
        <w:tc>
          <w:tcPr>
            <w:tcW w:w="5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accounting adjustments</w:t>
            </w:r>
          </w:p>
        </w:tc>
        <w:tc>
          <w:tcPr>
            <w:tcW w:w="4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217</w:t>
            </w:r>
          </w:p>
        </w:tc>
        <w:tc>
          <w:tcPr>
            <w:tcW w:w="159" w:type="dxa"/>
            <w:tcBorders/>
            <w:shd w:fill="CCEEFF" w:val="clear"/>
            <w:vAlign w:val="bottom"/>
          </w:tcPr>
          <w:p>
            <w:pPr>
              <w:pStyle w:val="TableContents"/>
              <w:bidi w:val="0"/>
              <w:spacing w:before="0" w:after="283"/>
              <w:jc w:val="left"/>
              <w:rPr/>
            </w:pPr>
            <w:r>
              <w:rPr/>
              <w:t> </w:t>
            </w:r>
          </w:p>
        </w:tc>
      </w:tr>
      <w:tr>
        <w:trPr/>
        <w:tc>
          <w:tcPr>
            <w:tcW w:w="5273"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(15,645</w:t>
            </w:r>
          </w:p>
        </w:tc>
        <w:tc>
          <w:tcPr>
            <w:tcW w:w="159" w:type="dxa"/>
            <w:tcBorders/>
            <w:vAlign w:val="bottom"/>
          </w:tcPr>
          <w:p>
            <w:pPr>
              <w:pStyle w:val="TableContents"/>
              <w:bidi w:val="0"/>
              <w:spacing w:before="0" w:after="283"/>
              <w:jc w:val="left"/>
              <w:rPr/>
            </w:pPr>
            <w:r>
              <w:rPr/>
              <w:t>) </w:t>
            </w:r>
          </w:p>
        </w:tc>
      </w:tr>
      <w:tr>
        <w:trPr/>
        <w:tc>
          <w:tcPr>
            <w:tcW w:w="5273"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4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163,658</w:t>
            </w:r>
          </w:p>
        </w:tc>
        <w:tc>
          <w:tcPr>
            <w:tcW w:w="159" w:type="dxa"/>
            <w:tcBorders/>
            <w:shd w:fill="CCEEFF" w:val="clear"/>
            <w:vAlign w:val="bottom"/>
          </w:tcPr>
          <w:p>
            <w:pPr>
              <w:pStyle w:val="TableContents"/>
              <w:bidi w:val="0"/>
              <w:spacing w:before="0" w:after="283"/>
              <w:jc w:val="left"/>
              <w:rPr/>
            </w:pPr>
            <w:r>
              <w:rPr/>
              <w:t> </w:t>
            </w:r>
          </w:p>
        </w:tc>
      </w:tr>
      <w:tr>
        <w:trPr/>
        <w:tc>
          <w:tcPr>
            <w:tcW w:w="5273" w:type="dxa"/>
            <w:tcBorders/>
          </w:tcPr>
          <w:p>
            <w:pPr>
              <w:pStyle w:val="TableContents"/>
              <w:bidi w:val="0"/>
              <w:spacing w:before="0" w:after="0"/>
              <w:jc w:val="left"/>
              <w:rPr>
                <w:rFonts w:ascii="Times New Roman" w:hAnsi="Times New Roman"/>
                <w:sz w:val="20"/>
              </w:rPr>
            </w:pPr>
            <w:r>
              <w:rPr>
                <w:rFonts w:ascii="Times New Roman" w:hAnsi="Times New Roman"/>
                <w:sz w:val="20"/>
              </w:rPr>
              <w:t>Goodwill as a result of acquisitions</w:t>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100,339</w:t>
            </w:r>
          </w:p>
        </w:tc>
        <w:tc>
          <w:tcPr>
            <w:tcW w:w="159" w:type="dxa"/>
            <w:tcBorders/>
            <w:vAlign w:val="bottom"/>
          </w:tcPr>
          <w:p>
            <w:pPr>
              <w:pStyle w:val="TableContents"/>
              <w:bidi w:val="0"/>
              <w:spacing w:before="0" w:after="283"/>
              <w:jc w:val="left"/>
              <w:rPr/>
            </w:pPr>
            <w:r>
              <w:rPr/>
              <w:t> </w:t>
            </w:r>
          </w:p>
        </w:tc>
      </w:tr>
      <w:tr>
        <w:trPr/>
        <w:tc>
          <w:tcPr>
            <w:tcW w:w="5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accounting adjustments</w:t>
            </w:r>
          </w:p>
        </w:tc>
        <w:tc>
          <w:tcPr>
            <w:tcW w:w="4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(173</w:t>
            </w:r>
          </w:p>
        </w:tc>
        <w:tc>
          <w:tcPr>
            <w:tcW w:w="159" w:type="dxa"/>
            <w:tcBorders/>
            <w:shd w:fill="CCEEFF" w:val="clear"/>
            <w:vAlign w:val="bottom"/>
          </w:tcPr>
          <w:p>
            <w:pPr>
              <w:pStyle w:val="TableContents"/>
              <w:bidi w:val="0"/>
              <w:spacing w:before="0" w:after="283"/>
              <w:jc w:val="left"/>
              <w:rPr/>
            </w:pPr>
            <w:r>
              <w:rPr/>
              <w:t>) </w:t>
            </w:r>
          </w:p>
        </w:tc>
      </w:tr>
      <w:tr>
        <w:trPr/>
        <w:tc>
          <w:tcPr>
            <w:tcW w:w="5273"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(19,412</w:t>
            </w:r>
          </w:p>
        </w:tc>
        <w:tc>
          <w:tcPr>
            <w:tcW w:w="159" w:type="dxa"/>
            <w:tcBorders/>
            <w:vAlign w:val="bottom"/>
          </w:tcPr>
          <w:p>
            <w:pPr>
              <w:pStyle w:val="TableContents"/>
              <w:bidi w:val="0"/>
              <w:spacing w:before="0" w:after="283"/>
              <w:jc w:val="left"/>
              <w:rPr/>
            </w:pPr>
            <w:r>
              <w:rPr/>
              <w:t>) </w:t>
            </w:r>
          </w:p>
        </w:tc>
      </w:tr>
      <w:tr>
        <w:trPr/>
        <w:tc>
          <w:tcPr>
            <w:tcW w:w="5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Currency translation</w:t>
            </w:r>
          </w:p>
        </w:tc>
        <w:tc>
          <w:tcPr>
            <w:tcW w:w="4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331</w:t>
            </w:r>
          </w:p>
        </w:tc>
        <w:tc>
          <w:tcPr>
            <w:tcW w:w="159" w:type="dxa"/>
            <w:tcBorders/>
            <w:shd w:fill="CCEEFF" w:val="clear"/>
            <w:vAlign w:val="bottom"/>
          </w:tcPr>
          <w:p>
            <w:pPr>
              <w:pStyle w:val="TableContents"/>
              <w:bidi w:val="0"/>
              <w:spacing w:before="0" w:after="283"/>
              <w:jc w:val="left"/>
              <w:rPr/>
            </w:pPr>
            <w:r>
              <w:rPr/>
              <w:t> </w:t>
            </w:r>
          </w:p>
        </w:tc>
      </w:tr>
      <w:tr>
        <w:trPr/>
        <w:tc>
          <w:tcPr>
            <w:tcW w:w="5273"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73"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902" w:type="dxa"/>
            <w:tcBorders/>
            <w:vAlign w:val="bottom"/>
          </w:tcPr>
          <w:p>
            <w:pPr>
              <w:pStyle w:val="TableContents"/>
              <w:bidi w:val="0"/>
              <w:spacing w:before="0" w:after="283"/>
              <w:jc w:val="right"/>
              <w:rPr/>
            </w:pPr>
            <w:r>
              <w:rPr/>
              <w:t>244,743</w:t>
            </w:r>
          </w:p>
        </w:tc>
        <w:tc>
          <w:tcPr>
            <w:tcW w:w="159" w:type="dxa"/>
            <w:tcBorders/>
            <w:vAlign w:val="bottom"/>
          </w:tcPr>
          <w:p>
            <w:pPr>
              <w:pStyle w:val="TableContents"/>
              <w:bidi w:val="0"/>
              <w:spacing w:before="0" w:after="283"/>
              <w:jc w:val="left"/>
              <w:rPr/>
            </w:pPr>
            <w:r>
              <w:rPr/>
              <w:t> </w:t>
            </w:r>
          </w:p>
        </w:tc>
      </w:tr>
      <w:tr>
        <w:trPr/>
        <w:tc>
          <w:tcPr>
            <w:tcW w:w="5273"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2025 and 2024, the Company recognized Goodwill Impairment related to persistent declines in the financial performance of certain Operating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Intangible assets primarily consist of trade names, customer-related intangible assets, and internally developed software. The internally developed software relates to proprietary software platforms utilized by Operating Subsidiaries and corporate. The Company does not have any definitive plans to sell or license these platforms to third parties in the near future. Internally developed software is amortized on a straight-line basis over 3 years. For the years ended December 31, 2025 and 2024, respectively, the Company recognized $3.8 million and $3.3 million of amortization expense relating to internally developed software. </w:t>
      </w:r>
    </w:p>
    <w:p>
      <w:pPr>
        <w:pStyle w:val="TextBody"/>
        <w:bidi w:val="0"/>
        <w:spacing w:before="240" w:after="0"/>
        <w:jc w:val="left"/>
        <w:rPr>
          <w:rFonts w:ascii="Times New Roman" w:hAnsi="Times New Roman"/>
          <w:sz w:val="20"/>
        </w:rPr>
      </w:pPr>
      <w:r>
        <w:rPr>
          <w:rFonts w:ascii="Times New Roman" w:hAnsi="Times New Roman"/>
          <w:sz w:val="20"/>
        </w:rPr>
        <w:t xml:space="preserve">Acquired trade names represent a target’s portfolio of marketing intangible assets. The Company values trade name intangible assets using a benchmarking method. Acquired trade names are amortized over a 10-year useful life using the straight-line amortization method. For the years ended December 31, 2025 and 2024, respectively, the Company recognized $2.1 million and $2.0 million of amortization expense related to trade names. </w:t>
      </w:r>
    </w:p>
    <w:p>
      <w:pPr>
        <w:pStyle w:val="TextBody"/>
        <w:bidi w:val="0"/>
        <w:spacing w:before="240" w:after="0"/>
        <w:jc w:val="left"/>
        <w:rPr>
          <w:rFonts w:ascii="Times New Roman" w:hAnsi="Times New Roman"/>
          <w:sz w:val="20"/>
        </w:rPr>
      </w:pPr>
      <w:r>
        <w:rPr>
          <w:rFonts w:ascii="Times New Roman" w:hAnsi="Times New Roman"/>
          <w:sz w:val="20"/>
        </w:rPr>
        <w:t xml:space="preserve">The amortization expense recognized during the years ended December 31, 2025 and 2024, respectively, includes $0.8 million and $1.3 million of definite-lived intangible asset impairment charges. </w:t>
      </w:r>
    </w:p>
    <w:p>
      <w:pPr>
        <w:pStyle w:val="TextBody"/>
        <w:bidi w:val="0"/>
        <w:spacing w:before="240" w:after="0"/>
        <w:jc w:val="left"/>
        <w:rPr>
          <w:rFonts w:ascii="Times New Roman" w:hAnsi="Times New Roman"/>
          <w:sz w:val="20"/>
        </w:rPr>
      </w:pPr>
      <w:r>
        <w:rPr>
          <w:rFonts w:ascii="Times New Roman" w:hAnsi="Times New Roman"/>
          <w:sz w:val="20"/>
        </w:rPr>
        <w:t xml:space="preserve">Customer-related intangible assets consist of contractual and non-contractual customer relationships. The Company estimates the fair values of acquired customer-related intangible assets as of their acquisition dates using an income approach. Acquired customer-related intangible assets are amortized over their estimated useful lives using the straight-line amortization method. All of the customer related intangible assets that were acquired during the year ended December 31, 2025 were acquired near the end of the year. Therefore, the Company did not recognize any amortization expense related to customer-related intangible assets during the year ended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Intangible assets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31"/>
        <w:gridCol w:w="346"/>
        <w:gridCol w:w="175"/>
        <w:gridCol w:w="814"/>
        <w:gridCol w:w="60"/>
        <w:gridCol w:w="346"/>
        <w:gridCol w:w="214"/>
        <w:gridCol w:w="1238"/>
        <w:gridCol w:w="155"/>
        <w:gridCol w:w="346"/>
        <w:gridCol w:w="157"/>
        <w:gridCol w:w="721"/>
        <w:gridCol w:w="69"/>
      </w:tblGrid>
      <w:tr>
        <w:trPr/>
        <w:tc>
          <w:tcPr>
            <w:tcW w:w="3931"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422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69" w:type="dxa"/>
            <w:tcBorders/>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9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Carrying</w:t>
              <w:br/>
              <w:t>Amount</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5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Asset</w:t>
            </w:r>
          </w:p>
        </w:tc>
        <w:tc>
          <w:tcPr>
            <w:tcW w:w="69"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34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15,453</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(3,855</w:t>
            </w:r>
          </w:p>
        </w:tc>
        <w:tc>
          <w:tcPr>
            <w:tcW w:w="155"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11,598</w:t>
            </w:r>
          </w:p>
        </w:tc>
        <w:tc>
          <w:tcPr>
            <w:tcW w:w="69"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Internally developed software</w:t>
            </w:r>
          </w:p>
        </w:tc>
        <w:tc>
          <w:tcPr>
            <w:tcW w:w="34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15,872</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(9,102</w:t>
            </w:r>
          </w:p>
        </w:tc>
        <w:tc>
          <w:tcPr>
            <w:tcW w:w="15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6,769</w:t>
            </w:r>
          </w:p>
        </w:tc>
        <w:tc>
          <w:tcPr>
            <w:tcW w:w="69"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related intangibles</w:t>
            </w:r>
          </w:p>
        </w:tc>
        <w:tc>
          <w:tcPr>
            <w:tcW w:w="34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6,080</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6,080</w:t>
            </w:r>
          </w:p>
        </w:tc>
        <w:tc>
          <w:tcPr>
            <w:tcW w:w="69" w:type="dxa"/>
            <w:tcBorders/>
            <w:shd w:fill="CCEEFF" w:val="clear"/>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4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814" w:type="dxa"/>
            <w:tcBorders/>
            <w:vAlign w:val="bottom"/>
          </w:tcPr>
          <w:p>
            <w:pPr>
              <w:pStyle w:val="TableContents"/>
              <w:bidi w:val="0"/>
              <w:spacing w:before="0" w:after="283"/>
              <w:jc w:val="right"/>
              <w:rPr/>
            </w:pPr>
            <w:r>
              <w:rPr/>
              <w:t>37,405</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(12,957</w:t>
            </w:r>
          </w:p>
        </w:tc>
        <w:tc>
          <w:tcPr>
            <w:tcW w:w="15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721" w:type="dxa"/>
            <w:tcBorders/>
            <w:vAlign w:val="bottom"/>
          </w:tcPr>
          <w:p>
            <w:pPr>
              <w:pStyle w:val="TableContents"/>
              <w:bidi w:val="0"/>
              <w:spacing w:before="0" w:after="283"/>
              <w:jc w:val="right"/>
              <w:rPr/>
            </w:pPr>
            <w:r>
              <w:rPr/>
              <w:t>24,447</w:t>
            </w:r>
          </w:p>
        </w:tc>
        <w:tc>
          <w:tcPr>
            <w:tcW w:w="69" w:type="dxa"/>
            <w:tcBorders/>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02"/>
        <w:gridCol w:w="346"/>
        <w:gridCol w:w="164"/>
        <w:gridCol w:w="846"/>
        <w:gridCol w:w="60"/>
        <w:gridCol w:w="346"/>
        <w:gridCol w:w="249"/>
        <w:gridCol w:w="1206"/>
        <w:gridCol w:w="155"/>
        <w:gridCol w:w="346"/>
        <w:gridCol w:w="140"/>
        <w:gridCol w:w="747"/>
        <w:gridCol w:w="65"/>
      </w:tblGrid>
      <w:tr>
        <w:trPr/>
        <w:tc>
          <w:tcPr>
            <w:tcW w:w="3902"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02"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425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65" w:type="dxa"/>
            <w:tcBorders/>
            <w:vAlign w:val="bottom"/>
          </w:tcPr>
          <w:p>
            <w:pPr>
              <w:pStyle w:val="TableContents"/>
              <w:bidi w:val="0"/>
              <w:spacing w:before="0" w:after="283"/>
              <w:jc w:val="left"/>
              <w:rPr/>
            </w:pPr>
            <w:r>
              <w:rPr/>
              <w:t> </w:t>
            </w:r>
          </w:p>
        </w:tc>
      </w:tr>
      <w:tr>
        <w:trPr/>
        <w:tc>
          <w:tcPr>
            <w:tcW w:w="3902"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Carrying</w:t>
              <w:br/>
              <w:t>Amount</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5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Asset</w:t>
            </w:r>
          </w:p>
        </w:tc>
        <w:tc>
          <w:tcPr>
            <w:tcW w:w="65" w:type="dxa"/>
            <w:tcBorders/>
            <w:vAlign w:val="bottom"/>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34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846" w:type="dxa"/>
            <w:tcBorders/>
            <w:shd w:fill="CCEEFF" w:val="clear"/>
            <w:vAlign w:val="bottom"/>
          </w:tcPr>
          <w:p>
            <w:pPr>
              <w:pStyle w:val="TableContents"/>
              <w:bidi w:val="0"/>
              <w:spacing w:before="0" w:after="283"/>
              <w:jc w:val="right"/>
              <w:rPr/>
            </w:pPr>
            <w:r>
              <w:rPr/>
              <w:t>12,594</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06" w:type="dxa"/>
            <w:tcBorders/>
            <w:shd w:fill="CCEEFF" w:val="clear"/>
            <w:vAlign w:val="bottom"/>
          </w:tcPr>
          <w:p>
            <w:pPr>
              <w:pStyle w:val="TableContents"/>
              <w:bidi w:val="0"/>
              <w:spacing w:before="0" w:after="283"/>
              <w:jc w:val="right"/>
              <w:rPr/>
            </w:pPr>
            <w:r>
              <w:rPr/>
              <w:t>(4,051</w:t>
            </w:r>
          </w:p>
        </w:tc>
        <w:tc>
          <w:tcPr>
            <w:tcW w:w="155"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8,542</w:t>
            </w:r>
          </w:p>
        </w:tc>
        <w:tc>
          <w:tcPr>
            <w:tcW w:w="65" w:type="dxa"/>
            <w:tcBorders/>
            <w:shd w:fill="CCEEFF" w:val="clear"/>
            <w:vAlign w:val="bottom"/>
          </w:tcPr>
          <w:p>
            <w:pPr>
              <w:pStyle w:val="TableContents"/>
              <w:bidi w:val="0"/>
              <w:spacing w:before="0" w:after="283"/>
              <w:jc w:val="left"/>
              <w:rPr/>
            </w:pPr>
            <w:r>
              <w:rPr/>
              <w:t> </w:t>
            </w:r>
          </w:p>
        </w:tc>
      </w:tr>
      <w:tr>
        <w:trPr/>
        <w:tc>
          <w:tcPr>
            <w:tcW w:w="3902" w:type="dxa"/>
            <w:tcBorders/>
          </w:tcPr>
          <w:p>
            <w:pPr>
              <w:pStyle w:val="TableContents"/>
              <w:bidi w:val="0"/>
              <w:spacing w:before="0" w:after="0"/>
              <w:jc w:val="left"/>
              <w:rPr>
                <w:rFonts w:ascii="Times New Roman" w:hAnsi="Times New Roman"/>
                <w:sz w:val="20"/>
              </w:rPr>
            </w:pPr>
            <w:r>
              <w:rPr>
                <w:rFonts w:ascii="Times New Roman" w:hAnsi="Times New Roman"/>
                <w:sz w:val="20"/>
              </w:rPr>
              <w:t>Internally developed software</w:t>
            </w:r>
          </w:p>
        </w:tc>
        <w:tc>
          <w:tcPr>
            <w:tcW w:w="34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13,108</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(5,285</w:t>
            </w:r>
          </w:p>
        </w:tc>
        <w:tc>
          <w:tcPr>
            <w:tcW w:w="15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7,823</w:t>
            </w:r>
          </w:p>
        </w:tc>
        <w:tc>
          <w:tcPr>
            <w:tcW w:w="65" w:type="dxa"/>
            <w:tcBorders/>
            <w:vAlign w:val="bottom"/>
          </w:tcPr>
          <w:p>
            <w:pPr>
              <w:pStyle w:val="TableContents"/>
              <w:bidi w:val="0"/>
              <w:spacing w:before="0" w:after="283"/>
              <w:jc w:val="left"/>
              <w:rPr/>
            </w:pPr>
            <w:r>
              <w:rPr/>
              <w:t> </w:t>
            </w:r>
          </w:p>
        </w:tc>
      </w:tr>
      <w:tr>
        <w:trPr/>
        <w:tc>
          <w:tcPr>
            <w:tcW w:w="3902"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4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846" w:type="dxa"/>
            <w:tcBorders/>
            <w:shd w:fill="CCEEFF" w:val="clear"/>
            <w:vAlign w:val="bottom"/>
          </w:tcPr>
          <w:p>
            <w:pPr>
              <w:pStyle w:val="TableContents"/>
              <w:bidi w:val="0"/>
              <w:spacing w:before="0" w:after="283"/>
              <w:jc w:val="right"/>
              <w:rPr/>
            </w:pPr>
            <w:r>
              <w:rPr/>
              <w:t>25,702</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06" w:type="dxa"/>
            <w:tcBorders/>
            <w:shd w:fill="CCEEFF" w:val="clear"/>
            <w:vAlign w:val="bottom"/>
          </w:tcPr>
          <w:p>
            <w:pPr>
              <w:pStyle w:val="TableContents"/>
              <w:bidi w:val="0"/>
              <w:spacing w:before="0" w:after="283"/>
              <w:jc w:val="right"/>
              <w:rPr/>
            </w:pPr>
            <w:r>
              <w:rPr/>
              <w:t>(9,336</w:t>
            </w:r>
          </w:p>
        </w:tc>
        <w:tc>
          <w:tcPr>
            <w:tcW w:w="155"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16,365</w:t>
            </w:r>
          </w:p>
        </w:tc>
        <w:tc>
          <w:tcPr>
            <w:tcW w:w="65" w:type="dxa"/>
            <w:tcBorders/>
            <w:shd w:fill="CCEEFF" w:val="clear"/>
            <w:vAlign w:val="bottom"/>
          </w:tcPr>
          <w:p>
            <w:pPr>
              <w:pStyle w:val="TableContents"/>
              <w:bidi w:val="0"/>
              <w:spacing w:before="0" w:after="283"/>
              <w:jc w:val="left"/>
              <w:rPr/>
            </w:pPr>
            <w:r>
              <w:rPr/>
              <w:t> </w:t>
            </w:r>
          </w:p>
        </w:tc>
      </w:tr>
      <w:tr>
        <w:trPr/>
        <w:tc>
          <w:tcPr>
            <w:tcW w:w="3902"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Estimated annual amortization expense for intangible assets for each of the next five years and thereafter is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58"/>
        <w:gridCol w:w="427"/>
        <w:gridCol w:w="140"/>
        <w:gridCol w:w="751"/>
        <w:gridCol w:w="63"/>
      </w:tblGrid>
      <w:tr>
        <w:trPr/>
        <w:tc>
          <w:tcPr>
            <w:tcW w:w="5558"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6,521</w:t>
            </w:r>
          </w:p>
        </w:tc>
        <w:tc>
          <w:tcPr>
            <w:tcW w:w="63" w:type="dxa"/>
            <w:tcBorders/>
            <w:shd w:fill="CCEEFF" w:val="clear"/>
            <w:vAlign w:val="bottom"/>
          </w:tcPr>
          <w:p>
            <w:pPr>
              <w:pStyle w:val="TableContents"/>
              <w:bidi w:val="0"/>
              <w:spacing w:before="0" w:after="283"/>
              <w:jc w:val="left"/>
              <w:rPr/>
            </w:pPr>
            <w:r>
              <w:rPr/>
              <w:t> </w:t>
            </w:r>
          </w:p>
        </w:tc>
      </w:tr>
      <w:tr>
        <w:trPr/>
        <w:tc>
          <w:tcPr>
            <w:tcW w:w="5558"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4,197</w:t>
            </w:r>
          </w:p>
        </w:tc>
        <w:tc>
          <w:tcPr>
            <w:tcW w:w="63" w:type="dxa"/>
            <w:tcBorders/>
            <w:vAlign w:val="bottom"/>
          </w:tcPr>
          <w:p>
            <w:pPr>
              <w:pStyle w:val="TableContents"/>
              <w:bidi w:val="0"/>
              <w:spacing w:before="0" w:after="283"/>
              <w:jc w:val="left"/>
              <w:rPr/>
            </w:pPr>
            <w:r>
              <w:rPr/>
              <w:t> </w:t>
            </w:r>
          </w:p>
        </w:tc>
      </w:tr>
      <w:tr>
        <w:trPr/>
        <w:tc>
          <w:tcPr>
            <w:tcW w:w="55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3,273</w:t>
            </w:r>
          </w:p>
        </w:tc>
        <w:tc>
          <w:tcPr>
            <w:tcW w:w="63" w:type="dxa"/>
            <w:tcBorders/>
            <w:shd w:fill="CCEEFF" w:val="clear"/>
            <w:vAlign w:val="bottom"/>
          </w:tcPr>
          <w:p>
            <w:pPr>
              <w:pStyle w:val="TableContents"/>
              <w:bidi w:val="0"/>
              <w:spacing w:before="0" w:after="283"/>
              <w:jc w:val="left"/>
              <w:rPr/>
            </w:pPr>
            <w:r>
              <w:rPr/>
              <w:t> </w:t>
            </w:r>
          </w:p>
        </w:tc>
      </w:tr>
      <w:tr>
        <w:trPr/>
        <w:tc>
          <w:tcPr>
            <w:tcW w:w="5558"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2,955</w:t>
            </w:r>
          </w:p>
        </w:tc>
        <w:tc>
          <w:tcPr>
            <w:tcW w:w="63" w:type="dxa"/>
            <w:tcBorders/>
            <w:vAlign w:val="bottom"/>
          </w:tcPr>
          <w:p>
            <w:pPr>
              <w:pStyle w:val="TableContents"/>
              <w:bidi w:val="0"/>
              <w:spacing w:before="0" w:after="283"/>
              <w:jc w:val="left"/>
              <w:rPr/>
            </w:pPr>
            <w:r>
              <w:rPr/>
              <w:t> </w:t>
            </w:r>
          </w:p>
        </w:tc>
      </w:tr>
      <w:tr>
        <w:trPr/>
        <w:tc>
          <w:tcPr>
            <w:tcW w:w="55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2,055</w:t>
            </w:r>
          </w:p>
        </w:tc>
        <w:tc>
          <w:tcPr>
            <w:tcW w:w="63" w:type="dxa"/>
            <w:tcBorders/>
            <w:shd w:fill="CCEEFF" w:val="clear"/>
            <w:vAlign w:val="bottom"/>
          </w:tcPr>
          <w:p>
            <w:pPr>
              <w:pStyle w:val="TableContents"/>
              <w:bidi w:val="0"/>
              <w:spacing w:before="0" w:after="283"/>
              <w:jc w:val="left"/>
              <w:rPr/>
            </w:pPr>
            <w:r>
              <w:rPr/>
              <w:t> </w:t>
            </w:r>
          </w:p>
        </w:tc>
      </w:tr>
      <w:tr>
        <w:trPr/>
        <w:tc>
          <w:tcPr>
            <w:tcW w:w="5558"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5,448</w:t>
            </w:r>
          </w:p>
        </w:tc>
        <w:tc>
          <w:tcPr>
            <w:tcW w:w="63" w:type="dxa"/>
            <w:tcBorders/>
            <w:vAlign w:val="bottom"/>
          </w:tcPr>
          <w:p>
            <w:pPr>
              <w:pStyle w:val="TableContents"/>
              <w:bidi w:val="0"/>
              <w:spacing w:before="0" w:after="283"/>
              <w:jc w:val="left"/>
              <w:rPr/>
            </w:pPr>
            <w:r>
              <w:rPr/>
              <w:t> </w:t>
            </w:r>
          </w:p>
        </w:tc>
      </w:tr>
      <w:tr>
        <w:trPr/>
        <w:tc>
          <w:tcPr>
            <w:tcW w:w="5558"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5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24,447</w:t>
            </w:r>
          </w:p>
        </w:tc>
        <w:tc>
          <w:tcPr>
            <w:tcW w:w="63" w:type="dxa"/>
            <w:tcBorders/>
            <w:shd w:fill="CCEEFF" w:val="clear"/>
            <w:vAlign w:val="bottom"/>
          </w:tcPr>
          <w:p>
            <w:pPr>
              <w:pStyle w:val="TableContents"/>
              <w:bidi w:val="0"/>
              <w:spacing w:before="0" w:after="283"/>
              <w:jc w:val="left"/>
              <w:rPr/>
            </w:pPr>
            <w:r>
              <w:rPr/>
              <w:t> </w:t>
            </w:r>
          </w:p>
        </w:tc>
      </w:tr>
      <w:tr>
        <w:trPr/>
        <w:tc>
          <w:tcPr>
            <w:tcW w:w="5558"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 xml:space="preserve">NOTE 9 </w:t>
      </w:r>
      <w:r>
        <w:rPr>
          <w:rFonts w:ascii="Times New Roman" w:hAnsi="Times New Roman"/>
          <w:sz w:val="20"/>
        </w:rPr>
        <w:t xml:space="preserve">– </w:t>
      </w:r>
      <w:r>
        <w:rPr>
          <w:rFonts w:ascii="Times New Roman" w:hAnsi="Times New Roman"/>
          <w:b/>
          <w:sz w:val="20"/>
        </w:rPr>
        <w:t>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Debt of the Company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73"/>
        <w:gridCol w:w="450"/>
        <w:gridCol w:w="211"/>
        <w:gridCol w:w="1223"/>
        <w:gridCol w:w="155"/>
        <w:gridCol w:w="450"/>
        <w:gridCol w:w="211"/>
        <w:gridCol w:w="1223"/>
        <w:gridCol w:w="159"/>
      </w:tblGrid>
      <w:tr>
        <w:trPr/>
        <w:tc>
          <w:tcPr>
            <w:tcW w:w="3673" w:type="dxa"/>
            <w:tcBorders/>
            <w:vAlign w:val="center"/>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73"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9" w:type="dxa"/>
            <w:tcBorders/>
            <w:vAlign w:val="bottom"/>
          </w:tcPr>
          <w:p>
            <w:pPr>
              <w:pStyle w:val="TableContents"/>
              <w:bidi w:val="0"/>
              <w:spacing w:before="0" w:after="283"/>
              <w:jc w:val="left"/>
              <w:rPr/>
            </w:pPr>
            <w:r>
              <w:rPr/>
              <w:t> </w:t>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i80 Facility</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153,377</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153,377</w:t>
            </w:r>
          </w:p>
        </w:tc>
        <w:tc>
          <w:tcPr>
            <w:tcW w:w="159" w:type="dxa"/>
            <w:tcBorders/>
            <w:shd w:fill="CCEEFF" w:val="clear"/>
            <w:vAlign w:val="bottom"/>
          </w:tcPr>
          <w:p>
            <w:pPr>
              <w:pStyle w:val="TableContents"/>
              <w:bidi w:val="0"/>
              <w:spacing w:before="0" w:after="283"/>
              <w:jc w:val="left"/>
              <w:rPr/>
            </w:pPr>
            <w:r>
              <w:rPr/>
              <w:t> </w:t>
            </w:r>
          </w:p>
        </w:tc>
      </w:tr>
      <w:tr>
        <w:trPr/>
        <w:tc>
          <w:tcPr>
            <w:tcW w:w="3673" w:type="dxa"/>
            <w:tcBorders/>
          </w:tcPr>
          <w:p>
            <w:pPr>
              <w:pStyle w:val="TableContents"/>
              <w:bidi w:val="0"/>
              <w:spacing w:before="0" w:after="0"/>
              <w:jc w:val="left"/>
              <w:rPr>
                <w:rFonts w:ascii="Times New Roman" w:hAnsi="Times New Roman"/>
                <w:sz w:val="20"/>
              </w:rPr>
            </w:pPr>
            <w:r>
              <w:rPr>
                <w:rFonts w:ascii="Times New Roman" w:hAnsi="Times New Roman"/>
                <w:sz w:val="20"/>
              </w:rPr>
              <w:t>Single Company Term Loans</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61,510</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HBC Credit Facility</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31,250</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673" w:type="dxa"/>
            <w:tcBorders/>
          </w:tcPr>
          <w:p>
            <w:pPr>
              <w:pStyle w:val="TableContents"/>
              <w:bidi w:val="0"/>
              <w:spacing w:before="0" w:after="0"/>
              <w:jc w:val="left"/>
              <w:rPr>
                <w:rFonts w:ascii="Times New Roman" w:hAnsi="Times New Roman"/>
                <w:sz w:val="20"/>
              </w:rPr>
            </w:pPr>
            <w:r>
              <w:rPr>
                <w:rFonts w:ascii="Times New Roman" w:hAnsi="Times New Roman"/>
                <w:sz w:val="20"/>
              </w:rPr>
              <w:t>TDC Loans</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15,375</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Former Owner Bridge Loan</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673" w:type="dxa"/>
            <w:tcBorders/>
          </w:tcPr>
          <w:p>
            <w:pPr>
              <w:pStyle w:val="TableContents"/>
              <w:bidi w:val="0"/>
              <w:spacing w:before="0" w:after="0"/>
              <w:jc w:val="left"/>
              <w:rPr>
                <w:rFonts w:ascii="Times New Roman" w:hAnsi="Times New Roman"/>
                <w:sz w:val="20"/>
              </w:rPr>
            </w:pPr>
            <w:r>
              <w:rPr>
                <w:rFonts w:ascii="Times New Roman" w:hAnsi="Times New Roman"/>
                <w:sz w:val="20"/>
              </w:rPr>
              <w:t>Real Estate Loans</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17,702</w:t>
            </w:r>
          </w:p>
        </w:tc>
        <w:tc>
          <w:tcPr>
            <w:tcW w:w="159" w:type="dxa"/>
            <w:tcBorders/>
            <w:vAlign w:val="bottom"/>
          </w:tcPr>
          <w:p>
            <w:pPr>
              <w:pStyle w:val="TableContents"/>
              <w:bidi w:val="0"/>
              <w:spacing w:before="0" w:after="283"/>
              <w:jc w:val="left"/>
              <w:rPr/>
            </w:pPr>
            <w:r>
              <w:rPr/>
              <w:t> </w:t>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Sound Point Facility</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3,801</w:t>
            </w:r>
          </w:p>
        </w:tc>
        <w:tc>
          <w:tcPr>
            <w:tcW w:w="159" w:type="dxa"/>
            <w:tcBorders/>
            <w:shd w:fill="CCEEFF" w:val="clear"/>
            <w:vAlign w:val="bottom"/>
          </w:tcPr>
          <w:p>
            <w:pPr>
              <w:pStyle w:val="TableContents"/>
              <w:bidi w:val="0"/>
              <w:spacing w:before="0" w:after="283"/>
              <w:jc w:val="left"/>
              <w:rPr/>
            </w:pPr>
            <w:r>
              <w:rPr/>
              <w:t> </w:t>
            </w:r>
          </w:p>
        </w:tc>
      </w:tr>
      <w:tr>
        <w:trPr/>
        <w:tc>
          <w:tcPr>
            <w:tcW w:w="3673" w:type="dxa"/>
            <w:tcBorders/>
          </w:tcPr>
          <w:p>
            <w:pPr>
              <w:pStyle w:val="TableContents"/>
              <w:bidi w:val="0"/>
              <w:spacing w:before="0" w:after="0"/>
              <w:jc w:val="left"/>
              <w:rPr>
                <w:rFonts w:ascii="Times New Roman" w:hAnsi="Times New Roman"/>
                <w:sz w:val="20"/>
              </w:rPr>
            </w:pPr>
            <w:r>
              <w:rPr>
                <w:rFonts w:ascii="Times New Roman" w:hAnsi="Times New Roman"/>
                <w:sz w:val="20"/>
              </w:rPr>
              <w:t>Vehicle and equipment notes</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4,838</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2,685</w:t>
            </w:r>
          </w:p>
        </w:tc>
        <w:tc>
          <w:tcPr>
            <w:tcW w:w="159" w:type="dxa"/>
            <w:tcBorders/>
            <w:vAlign w:val="bottom"/>
          </w:tcPr>
          <w:p>
            <w:pPr>
              <w:pStyle w:val="TableContents"/>
              <w:bidi w:val="0"/>
              <w:spacing w:before="0" w:after="283"/>
              <w:jc w:val="left"/>
              <w:rPr/>
            </w:pPr>
            <w:r>
              <w:rPr/>
              <w:t> </w:t>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Seller Notes</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29,840</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10,120</w:t>
            </w:r>
          </w:p>
        </w:tc>
        <w:tc>
          <w:tcPr>
            <w:tcW w:w="159" w:type="dxa"/>
            <w:tcBorders/>
            <w:shd w:fill="CCEEFF" w:val="clear"/>
            <w:vAlign w:val="bottom"/>
          </w:tcPr>
          <w:p>
            <w:pPr>
              <w:pStyle w:val="TableContents"/>
              <w:bidi w:val="0"/>
              <w:spacing w:before="0" w:after="283"/>
              <w:jc w:val="left"/>
              <w:rPr/>
            </w:pPr>
            <w:r>
              <w:rPr/>
              <w:t> </w:t>
            </w:r>
          </w:p>
        </w:tc>
      </w:tr>
      <w:tr>
        <w:trPr/>
        <w:tc>
          <w:tcPr>
            <w:tcW w:w="3673" w:type="dxa"/>
            <w:tcBorders/>
          </w:tcPr>
          <w:p>
            <w:pPr>
              <w:pStyle w:val="TableContents"/>
              <w:bidi w:val="0"/>
              <w:spacing w:before="0" w:after="0"/>
              <w:jc w:val="left"/>
              <w:rPr>
                <w:rFonts w:ascii="Times New Roman" w:hAnsi="Times New Roman"/>
                <w:sz w:val="20"/>
              </w:rPr>
            </w:pPr>
            <w:r>
              <w:rPr>
                <w:rFonts w:ascii="Times New Roman" w:hAnsi="Times New Roman"/>
                <w:sz w:val="20"/>
              </w:rPr>
              <w:t>Less: Debt issuance costs</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(2,842</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(2,559</w:t>
            </w:r>
          </w:p>
        </w:tc>
        <w:tc>
          <w:tcPr>
            <w:tcW w:w="159" w:type="dxa"/>
            <w:tcBorders/>
            <w:vAlign w:val="bottom"/>
          </w:tcPr>
          <w:p>
            <w:pPr>
              <w:pStyle w:val="TableContents"/>
              <w:bidi w:val="0"/>
              <w:spacing w:before="0" w:after="283"/>
              <w:jc w:val="left"/>
              <w:rPr/>
            </w:pPr>
            <w:r>
              <w:rPr/>
              <w:t>) </w:t>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Discounts</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(11,802</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(3,847</w:t>
            </w:r>
          </w:p>
        </w:tc>
        <w:tc>
          <w:tcPr>
            <w:tcW w:w="159" w:type="dxa"/>
            <w:tcBorders/>
            <w:shd w:fill="CCEEFF" w:val="clear"/>
            <w:vAlign w:val="bottom"/>
          </w:tcPr>
          <w:p>
            <w:pPr>
              <w:pStyle w:val="TableContents"/>
              <w:bidi w:val="0"/>
              <w:spacing w:before="0" w:after="283"/>
              <w:jc w:val="left"/>
              <w:rPr/>
            </w:pPr>
            <w:r>
              <w:rPr/>
              <w:t>) </w:t>
            </w:r>
          </w:p>
        </w:tc>
      </w:tr>
      <w:tr>
        <w:trPr/>
        <w:tc>
          <w:tcPr>
            <w:tcW w:w="3673"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73" w:type="dxa"/>
            <w:tcBorders/>
          </w:tcPr>
          <w:p>
            <w:pPr>
              <w:pStyle w:val="TableContents"/>
              <w:bidi w:val="0"/>
              <w:spacing w:before="0" w:after="0"/>
              <w:jc w:val="left"/>
              <w:rPr>
                <w:rFonts w:ascii="Times New Roman" w:hAnsi="Times New Roman"/>
                <w:sz w:val="20"/>
              </w:rPr>
            </w:pPr>
            <w:r>
              <w:rPr>
                <w:rFonts w:ascii="Times New Roman" w:hAnsi="Times New Roman"/>
                <w:sz w:val="20"/>
              </w:rPr>
              <w:t>Total debt, net</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291,546</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181,279</w:t>
            </w:r>
          </w:p>
        </w:tc>
        <w:tc>
          <w:tcPr>
            <w:tcW w:w="159" w:type="dxa"/>
            <w:tcBorders/>
            <w:vAlign w:val="bottom"/>
          </w:tcPr>
          <w:p>
            <w:pPr>
              <w:pStyle w:val="TableContents"/>
              <w:bidi w:val="0"/>
              <w:spacing w:before="0" w:after="283"/>
              <w:jc w:val="left"/>
              <w:rPr/>
            </w:pPr>
            <w:r>
              <w:rPr/>
              <w:t> </w:t>
            </w:r>
          </w:p>
        </w:tc>
      </w:tr>
      <w:tr>
        <w:trPr>
          <w:trHeight w:val="120" w:hRule="atLeast"/>
        </w:trPr>
        <w:tc>
          <w:tcPr>
            <w:tcW w:w="3673" w:type="dxa"/>
            <w:tcBorders/>
            <w:vAlign w:val="center"/>
          </w:tcPr>
          <w:p>
            <w:pPr>
              <w:pStyle w:val="TableContents"/>
              <w:bidi w:val="0"/>
              <w:spacing w:before="0" w:after="283"/>
              <w:jc w:val="left"/>
              <w:rPr>
                <w:sz w:val="4"/>
                <w:szCs w:val="4"/>
              </w:rPr>
            </w:pPr>
            <w:r>
              <w:rPr>
                <w:sz w:val="4"/>
                <w:szCs w:val="4"/>
              </w:rPr>
            </w:r>
          </w:p>
        </w:tc>
        <w:tc>
          <w:tcPr>
            <w:tcW w:w="2039" w:type="dxa"/>
            <w:gridSpan w:val="4"/>
            <w:tcBorders/>
            <w:vAlign w:val="center"/>
          </w:tcPr>
          <w:p>
            <w:pPr>
              <w:pStyle w:val="TableContents"/>
              <w:bidi w:val="0"/>
              <w:spacing w:before="0" w:after="283"/>
              <w:jc w:val="left"/>
              <w:rPr>
                <w:sz w:val="4"/>
                <w:szCs w:val="4"/>
              </w:rPr>
            </w:pPr>
            <w:r>
              <w:rPr>
                <w:sz w:val="4"/>
                <w:szCs w:val="4"/>
              </w:rPr>
            </w:r>
          </w:p>
        </w:tc>
        <w:tc>
          <w:tcPr>
            <w:tcW w:w="2043" w:type="dxa"/>
            <w:gridSpan w:val="4"/>
            <w:tcBorders/>
            <w:vAlign w:val="center"/>
          </w:tcPr>
          <w:p>
            <w:pPr>
              <w:pStyle w:val="TableContents"/>
              <w:bidi w:val="0"/>
              <w:spacing w:before="0" w:after="283"/>
              <w:jc w:val="left"/>
              <w:rPr>
                <w:sz w:val="4"/>
                <w:szCs w:val="4"/>
              </w:rPr>
            </w:pPr>
            <w:r>
              <w:rPr>
                <w:sz w:val="4"/>
                <w:szCs w:val="4"/>
              </w:rPr>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maturities</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206,982</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1,111</w:t>
            </w:r>
          </w:p>
        </w:tc>
        <w:tc>
          <w:tcPr>
            <w:tcW w:w="159" w:type="dxa"/>
            <w:tcBorders/>
            <w:shd w:fill="CCEEFF" w:val="clear"/>
            <w:vAlign w:val="bottom"/>
          </w:tcPr>
          <w:p>
            <w:pPr>
              <w:pStyle w:val="TableContents"/>
              <w:bidi w:val="0"/>
              <w:spacing w:before="0" w:after="283"/>
              <w:jc w:val="left"/>
              <w:rPr/>
            </w:pPr>
            <w:r>
              <w:rPr/>
              <w:t> </w:t>
            </w:r>
          </w:p>
        </w:tc>
      </w:tr>
      <w:tr>
        <w:trPr/>
        <w:tc>
          <w:tcPr>
            <w:tcW w:w="3673" w:type="dxa"/>
            <w:tcBorders/>
          </w:tcPr>
          <w:p>
            <w:pPr>
              <w:pStyle w:val="TableContents"/>
              <w:bidi w:val="0"/>
              <w:spacing w:before="0" w:after="0"/>
              <w:jc w:val="left"/>
              <w:rPr>
                <w:rFonts w:ascii="Times New Roman" w:hAnsi="Times New Roman"/>
                <w:sz w:val="20"/>
              </w:rPr>
            </w:pPr>
            <w:r>
              <w:rPr>
                <w:rFonts w:ascii="Times New Roman" w:hAnsi="Times New Roman"/>
                <w:sz w:val="20"/>
              </w:rPr>
              <w:t>Less: Debt issuance costs</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(1,585</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Discounts</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(5,250</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673" w:type="dxa"/>
            <w:tcBorders/>
          </w:tcPr>
          <w:p>
            <w:pPr>
              <w:pStyle w:val="TableContents"/>
              <w:bidi w:val="0"/>
              <w:spacing w:before="0" w:after="0"/>
              <w:jc w:val="left"/>
              <w:rPr>
                <w:rFonts w:ascii="Times New Roman" w:hAnsi="Times New Roman"/>
                <w:sz w:val="20"/>
              </w:rPr>
            </w:pPr>
            <w:r>
              <w:rPr>
                <w:rFonts w:ascii="Times New Roman" w:hAnsi="Times New Roman"/>
                <w:sz w:val="20"/>
              </w:rPr>
              <w:t>Total Short-Term Debt and Current Portion of Long-Term Debt</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200,147</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1,111</w:t>
            </w:r>
          </w:p>
        </w:tc>
        <w:tc>
          <w:tcPr>
            <w:tcW w:w="159" w:type="dxa"/>
            <w:tcBorders/>
            <w:vAlign w:val="bottom"/>
          </w:tcPr>
          <w:p>
            <w:pPr>
              <w:pStyle w:val="TableContents"/>
              <w:bidi w:val="0"/>
              <w:spacing w:before="0" w:after="283"/>
              <w:jc w:val="left"/>
              <w:rPr/>
            </w:pPr>
            <w:r>
              <w:rPr/>
              <w:t> </w:t>
            </w:r>
          </w:p>
        </w:tc>
      </w:tr>
      <w:tr>
        <w:trPr/>
        <w:tc>
          <w:tcPr>
            <w:tcW w:w="3673"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debt</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91,399</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180,168</w:t>
            </w:r>
          </w:p>
        </w:tc>
        <w:tc>
          <w:tcPr>
            <w:tcW w:w="159" w:type="dxa"/>
            <w:tcBorders/>
            <w:shd w:fill="CCEEFF" w:val="clear"/>
            <w:vAlign w:val="bottom"/>
          </w:tcPr>
          <w:p>
            <w:pPr>
              <w:pStyle w:val="TableContents"/>
              <w:bidi w:val="0"/>
              <w:spacing w:before="0" w:after="283"/>
              <w:jc w:val="left"/>
              <w:rPr/>
            </w:pPr>
            <w:r>
              <w:rPr/>
              <w:t> </w:t>
            </w:r>
          </w:p>
        </w:tc>
      </w:tr>
      <w:tr>
        <w:trPr/>
        <w:tc>
          <w:tcPr>
            <w:tcW w:w="3673"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i80 Facility </w:t>
      </w:r>
    </w:p>
    <w:p>
      <w:pPr>
        <w:pStyle w:val="TextBody"/>
        <w:bidi w:val="0"/>
        <w:spacing w:before="120" w:after="0"/>
        <w:jc w:val="left"/>
        <w:rPr>
          <w:rFonts w:ascii="Times New Roman" w:hAnsi="Times New Roman"/>
          <w:sz w:val="20"/>
        </w:rPr>
      </w:pPr>
      <w:r>
        <w:rPr>
          <w:rFonts w:ascii="Times New Roman" w:hAnsi="Times New Roman"/>
          <w:sz w:val="20"/>
        </w:rPr>
        <w:t xml:space="preserve">On May 4, 2021, Teamshares Continuity Holdings LLC, a wholly owned subsidiary of Teamshares, entered into a credit facility with i80 Group LLC, as the lender (the “i80 Facility”) and Westmount Group LLC, a wholly owned subsidiary of i80 Group LLC, as the administrative and collateral agent. The Credit Facility provides up to $150 million of committed capital from the lender and matures on December 5, 2026. The Company issued Series B-1 and C-1 warrants to i80 Group LLC in connection with the closing, and a subsequent amendment, of the credit facility. See NOTE 10. Borrowings under the credit facility are primarily used to fund business acquisitions subject to eligibility requirements. The credit facility requires the Company to maintain a Collateral Account and a Collection Account. As of December 31, 2025 and 2024, respectively, the Collateral Account held balances of $6.4 million and $8.6 million, and the Collection Account held balances of $4.8 million and $13.2 million. </w:t>
      </w:r>
    </w:p>
    <w:p>
      <w:pPr>
        <w:pStyle w:val="TextBody"/>
        <w:bidi w:val="0"/>
        <w:spacing w:before="240" w:after="0"/>
        <w:jc w:val="left"/>
        <w:rPr>
          <w:rFonts w:ascii="Times New Roman" w:hAnsi="Times New Roman"/>
          <w:sz w:val="20"/>
        </w:rPr>
      </w:pPr>
      <w:r>
        <w:rPr>
          <w:rFonts w:ascii="Times New Roman" w:hAnsi="Times New Roman"/>
          <w:sz w:val="20"/>
        </w:rPr>
        <w:t xml:space="preserve">Amounts outstanding under the i80 Facility accrue interest at the lesser of: three-month CME Term Secured Overnight Financing Rate (“SOFR”) plus 11% (the “i80 Rate”), payable in cash on the fifteenth of each month. Any percentage of the i80 Rate in excess of 16%, is accrued as an increase to the aggregate principal amount outstanding under the i80 Facility (”PIK Interest”). The Company may elect to pay the PIK Interest in cash. As of December 31, 2025 and 2024, respectively, the weighted average interest rate on borrowings under the i80 Facility was 15.2% and 16.1%. </w:t>
      </w:r>
    </w:p>
    <w:p>
      <w:pPr>
        <w:pStyle w:val="TextBody"/>
        <w:bidi w:val="0"/>
        <w:spacing w:before="240" w:after="0"/>
        <w:jc w:val="left"/>
        <w:rPr>
          <w:rFonts w:ascii="Times New Roman" w:hAnsi="Times New Roman"/>
          <w:sz w:val="20"/>
        </w:rPr>
      </w:pPr>
      <w:r>
        <w:rPr>
          <w:rFonts w:ascii="Times New Roman" w:hAnsi="Times New Roman"/>
          <w:sz w:val="20"/>
        </w:rPr>
        <w:t xml:space="preserve">The i80 Facility allows the Company to borrow an amount equal to unrestricted cash of the pledged businesses plus the lesser of: (i) up to 95% of its investment in acquired businesses or (ii) EBITDA generated by all pledged businesses multiplied by 3.5, subject to certain eligibility criteria and other adjustments. As of December 31, 2025 and 2024, the Company had drawn $150.0 million, accrued $3.4 million of principal related to PIK Interest, and had no availability under the i80 Facility. Unamortized debt issuance costs, excluding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associated with the issuance and amendments to the i80 Facility were $0.5 million and $0.6 million as of the years ended December 31,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Obligations under the i80 Facility are secured by the assets and capital stock of the Operating Subsidiaries that are pledged as collateral. The i80 Facility includes representations and warranties, and affirmative and negative covenants, including but not limited to, maintaining an unrestricted and unencumbered cash and cash equivalents balance of $5.0 million or higher (including 50% of the amount on deposit in the debt service reserve account), and a weighted average EBITDA yield of 18% and free cash flow yield of 15% for the portfolio of eligible businesses pledged as collateral under the i80 Facility. As of December 31, 2025 and 2024, the Company was in compliance with all covenants. </w:t>
      </w:r>
    </w:p>
    <w:p>
      <w:pPr>
        <w:pStyle w:val="TextBody"/>
        <w:bidi w:val="0"/>
        <w:spacing w:before="360" w:after="0"/>
        <w:jc w:val="left"/>
        <w:rPr>
          <w:rFonts w:ascii="Times New Roman" w:hAnsi="Times New Roman"/>
          <w:b/>
          <w:sz w:val="20"/>
        </w:rPr>
      </w:pPr>
      <w:r>
        <w:rPr>
          <w:rFonts w:ascii="Times New Roman" w:hAnsi="Times New Roman"/>
          <w:b/>
          <w:sz w:val="20"/>
        </w:rPr>
        <w:t xml:space="preserve">Single Company Term Loans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6 outstanding term loans (“Single Company Term Loans”). Each term loan was used to finance the acquisition of an individual Operating Subsidiary during the year ended December 31, 2025, and is collateralized by the assets of the Operating Subsidiary that it was used to acquire. The total outstanding principal balance of Single Company Term Loans was $61.5 million as of December 31, 2025. Single Company Term Loan payments are split between principal and interest based on the terms of the arrangement. As of December 31, 2025, the Company has included $12.4 million in Short-Term Debt and Current Portion of Long-Term Debt on the Consolidated Balance Sheets related to Single Company Term Loan principal payments that are due within the next twelve months. As of December 31, 2025, the Company has included $49.1 million in Long-Term Debt, Net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Single Company Term Loans outstanding as of December 31, 2025 have maturity dates ranging from December 31, 2026 to December 22, 2032. As of December 31, 2025, the weighted average interest rates on Single Company Term Loans was 6.8%. </w:t>
      </w:r>
    </w:p>
    <w:p>
      <w:pPr>
        <w:pStyle w:val="TextBody"/>
        <w:bidi w:val="0"/>
        <w:spacing w:before="360" w:after="0"/>
        <w:jc w:val="left"/>
        <w:rPr>
          <w:rFonts w:ascii="Times New Roman" w:hAnsi="Times New Roman"/>
          <w:b/>
          <w:sz w:val="20"/>
        </w:rPr>
      </w:pPr>
      <w:r>
        <w:rPr>
          <w:rFonts w:ascii="Times New Roman" w:hAnsi="Times New Roman"/>
          <w:b/>
          <w:sz w:val="20"/>
        </w:rPr>
        <w:t xml:space="preserve">HBC Financing Arrangement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23, 2025, certain subsidiaries of Teamshares entered into a secured term loan credit agreement with HBC Financing Partners Blocker LLC (“HBC”), providing for term loan commitments in an aggregate principal amount of $30.3 million (“HBC Credit Facility”). Obligations under the HBC Credit Facility are secured by the assets and capital stock of the Operating Subsidiaries that are pledged as collateral. The Company received proceeds of $25.0 million and recognized a debt discount of $5.3 million. Additionally, the Company recognized debt issuance costs of $0.5 million in connection with the transaction. The HBC Credit Facility does not accrue interest until June 23, 2026. Beginning on June 23, 2026, the HBC Credit Facility accrues interest at a rate of 15% per annum payable on the last business day of each calendar month. The proceeds from the HBC Credit Facility were utilized to fund business acquisitions, refinance the Sound Point Credit Facility, and to finance working capital and general corporate purposes. The fair value of the HBC Credit Facility approximates its principal amount as of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original maturity date of the HBC Credit Facility was the earliest of: i) December 23, 2026, 2) the date on which the SPAC Merger is consummated, 3) the date on which the Merger Agreement is terminated, or 4) unless a Registration Statement on Form S-4 in connection with the SPAC Merger has been declared effective, the date that is 60 days prior to the Outside Date. The Outside Date is defined in the Merger Agreement as the date of May 31, 2026, or an applicable later date if extended pursuant to the terms of the Merger Agreement. In March 2026, the Company and HBC amended the maturity date of the HBC Credit Facility. See NOTE 19. The Company may voluntarily prepay the HBC Credit Facility without a prepayment penalty. If the Company issues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any additional indebtedness not expressly permitted in the HBC Credit Facility, the Company is required to prepay an aggregate principal amount of the HBC Credit Facility equal to 100% of the net cash proceeds received from the indebtedness. If the Company consummates an equity issuance resulting in net cash proceeds in excess of $25 million, the Company is required to prepay an aggregate principal amount of the HBC Credit Facility equal to 50% of all cash proceeds exceeding $25 million. Mandatory prepayments may also be required in the event of significant dispositions or significant cash receipts not in the ordinary course of business. The HBC Credit Facility includes representations and warranties, and affirmative and negative covenants, including but not limited to, maintaining an unrestricted and unencumbered cash and cash equivalents balance of at least $5.0 million </w:t>
      </w:r>
    </w:p>
    <w:p>
      <w:pPr>
        <w:pStyle w:val="TextBody"/>
        <w:bidi w:val="0"/>
        <w:spacing w:before="240" w:after="0"/>
        <w:jc w:val="left"/>
        <w:rPr>
          <w:rFonts w:ascii="Times New Roman" w:hAnsi="Times New Roman"/>
          <w:sz w:val="20"/>
        </w:rPr>
      </w:pPr>
      <w:r>
        <w:rPr>
          <w:rFonts w:ascii="Times New Roman" w:hAnsi="Times New Roman"/>
          <w:sz w:val="20"/>
        </w:rPr>
        <w:t xml:space="preserve">As additional consideration for entering into the Credit Agreement, the Company agreed to pay HBC $1.0 million in cash, or an equivalent value of shares of common stock in the Combined Company, following the closing of the SPAC Merger. The Combined Company has the option to transfer cash or shares. If the SPAC Merger does not close within one year of the closing date of the HBC Credit Facility, then the Company agreed to pay HBC $1.0 million in cash. The Company recognized $1.0 million of deferred financing costs in connection with this obligation and recorded a corresponding liability. </w:t>
      </w:r>
    </w:p>
    <w:p>
      <w:pPr>
        <w:pStyle w:val="TextBody"/>
        <w:bidi w:val="0"/>
        <w:spacing w:before="360" w:after="0"/>
        <w:jc w:val="left"/>
        <w:rPr>
          <w:rFonts w:ascii="Times New Roman" w:hAnsi="Times New Roman"/>
          <w:b/>
          <w:sz w:val="20"/>
        </w:rPr>
      </w:pPr>
      <w:r>
        <w:rPr>
          <w:rFonts w:ascii="Times New Roman" w:hAnsi="Times New Roman"/>
          <w:b/>
          <w:sz w:val="20"/>
        </w:rPr>
        <w:t xml:space="preserve">Teamshares Dependable Capital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2025, Teamshares Dependable Capital LLC (“TDC”), a wholly owned subsidiary of Teamshares, entered into loan agreements (“TDC Loans”) with certain parties that resulted in net proceeds of $15.4 million. TDC owns equity interests in certain of the Operating Subsidiaries acquired during 2025. The loans bear interest at 12% per annum, payable quarterly in cash, plus an additional 6% per annum PIK interest, compounded quarterly. The loans mature on June 30, 2027, and may be prepaid at any time subject to a 3% prepayment fee. The counterparties to $6.3 million of the loans include members of the Company’s management and board of directors. See NOTE 18. In connection with the TDC Loans, the lenders received 15,558 warrants (“Series E-1”). See NOTE 10. </w:t>
      </w:r>
    </w:p>
    <w:p>
      <w:pPr>
        <w:pStyle w:val="TextBody"/>
        <w:bidi w:val="0"/>
        <w:spacing w:before="360" w:after="0"/>
        <w:jc w:val="left"/>
        <w:rPr>
          <w:rFonts w:ascii="Times New Roman" w:hAnsi="Times New Roman"/>
          <w:b/>
          <w:sz w:val="20"/>
        </w:rPr>
      </w:pPr>
      <w:r>
        <w:rPr>
          <w:rFonts w:ascii="Times New Roman" w:hAnsi="Times New Roman"/>
          <w:b/>
          <w:sz w:val="20"/>
        </w:rPr>
        <w:t xml:space="preserve">Former Owner Bridge Loan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2025, the acquisition of one Operating Subsidiary was financed with a loan to the sellers of the business (the “Former Owner Bridge Loan”). The original principal amount of this loan was $13.0 million. During the year ended December 31, 2025, the Company received a $3.0 million loan from three executives of the Company. The proceeds of this loan were used to repay $3.0 million of the Former Owner Bridge Loan. The $3.0 million of loans from the Company’s executives were subsequently converted to TDC Loans that remain outstanding as of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remaining principal balance of the Former Owner Bridge Loan was $10.0 million as of December 31, 2025. The Company is required to pay $8.0 million of the outstanding principal to the lenders on March 31, 2026. This balance is included in Short-Term Debt and Current Portion of Long-Term Debt on the Consolidated Balance Sheets. The remaining principal balance matures on March 31, 2027. The loan bears interest at 12% per annum, payable monthly in cash. </w:t>
      </w:r>
    </w:p>
    <w:p>
      <w:pPr>
        <w:pStyle w:val="TextBody"/>
        <w:bidi w:val="0"/>
        <w:spacing w:before="360" w:after="0"/>
        <w:jc w:val="left"/>
        <w:rPr>
          <w:rFonts w:ascii="Times New Roman" w:hAnsi="Times New Roman"/>
          <w:b/>
          <w:sz w:val="20"/>
        </w:rPr>
      </w:pPr>
      <w:r>
        <w:rPr>
          <w:rFonts w:ascii="Times New Roman" w:hAnsi="Times New Roman"/>
          <w:b/>
          <w:sz w:val="20"/>
        </w:rPr>
        <w:t xml:space="preserve">Real Estate Loans </w:t>
      </w:r>
    </w:p>
    <w:p>
      <w:pPr>
        <w:pStyle w:val="TextBody"/>
        <w:bidi w:val="0"/>
        <w:spacing w:before="120" w:after="0"/>
        <w:jc w:val="left"/>
        <w:rPr>
          <w:rFonts w:ascii="Times New Roman" w:hAnsi="Times New Roman"/>
          <w:sz w:val="20"/>
        </w:rPr>
      </w:pPr>
      <w:r>
        <w:rPr>
          <w:rFonts w:ascii="Times New Roman" w:hAnsi="Times New Roman"/>
          <w:sz w:val="20"/>
        </w:rPr>
        <w:t xml:space="preserve">On June 22, 2023, certain subsidiaries of Teamshares that held real estate (“PropCos”) entered into a loan agreement with Barclays Capital Real Estate Inc. as the lender (“Real Estate Loans”). As of December 31, 2024, the Company had borrowed $17.7 million under the agreement. During the year ended December 31, 2025,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Company sold 17 real estate assets in connection with the Sale Leaseback and extinguished the Real Estate Loans. See NOTE 2. The Company recognized a pretax $2.8 million loss on the extinguishment of the Real Estate Loans, which is recognized in Loss on Extinguishment of Debt in the Consolidated Statements of Operations Prior to extinguishment, amounts outstanding under the Real Estate Loans accrued interest at a rate of 7.6% payable in cash on a monthly basis. The Real Estate Loans had an original maturity date of July 6, 2028. </w:t>
      </w:r>
    </w:p>
    <w:p>
      <w:pPr>
        <w:pStyle w:val="TextBody"/>
        <w:bidi w:val="0"/>
        <w:spacing w:before="360" w:after="0"/>
        <w:jc w:val="left"/>
        <w:rPr>
          <w:rFonts w:ascii="Times New Roman" w:hAnsi="Times New Roman"/>
          <w:b/>
          <w:sz w:val="20"/>
        </w:rPr>
      </w:pPr>
      <w:r>
        <w:rPr>
          <w:rFonts w:ascii="Times New Roman" w:hAnsi="Times New Roman"/>
          <w:b/>
          <w:sz w:val="20"/>
        </w:rPr>
        <w:t xml:space="preserve">Sound Point Facility </w:t>
      </w:r>
    </w:p>
    <w:p>
      <w:pPr>
        <w:pStyle w:val="TextBody"/>
        <w:bidi w:val="0"/>
        <w:spacing w:before="120" w:after="0"/>
        <w:jc w:val="left"/>
        <w:rPr>
          <w:rFonts w:ascii="Times New Roman" w:hAnsi="Times New Roman"/>
          <w:sz w:val="20"/>
        </w:rPr>
      </w:pPr>
      <w:r>
        <w:rPr>
          <w:rFonts w:ascii="Times New Roman" w:hAnsi="Times New Roman"/>
          <w:sz w:val="20"/>
        </w:rPr>
        <w:t xml:space="preserve">On December 21, 2023, Teamshares Holdings, LLC, a wholly owned subsidiary of Teamshares, entered into a credit facility (“Sound Point Facility”) with Sound Point Agency LLC (”Sound Point”), as the lender, administrative, and collateral agent. The Sound Point Facility had a maturity date of 60 months from the closing date. The Company issued warrants to Sound Point (Series D-1) in connection with the closing of the Sound Point Facility. As of December 31, 2024, the Company had drawn $3.7 million on the Sound Point Facility. The Company drew an additional $3.2 million on the Sound Point Facility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On December 24, 2025, the Company paid $7.1 million to fully extinguish the Sound Point Facility, including accrued interest. The Company recognized $1.7 million of unamortized deferred financing costs within Loss on Extinguishment of Debt, Net in the Consolidated Statements of Operations. Upon extinguishment, $0.9 million held in a Collateral Account was released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Prior to extinguishment, amounts outstanding under the Sound Point Facility accrued interest at the one-month SOFR plus 9%, payable on the twenty-fifth day of each month. Any percentage in excess of 11% may be paid in cash or accrued as an increase to the aggregate principal amount outstanding under the Sound Point Facility. As of December 31, 2024, the weighted average interest rate on borrowings under the Sound Point Facility was 14.1%. </w:t>
      </w:r>
    </w:p>
    <w:p>
      <w:pPr>
        <w:pStyle w:val="TextBody"/>
        <w:bidi w:val="0"/>
        <w:spacing w:before="360" w:after="0"/>
        <w:jc w:val="left"/>
        <w:rPr>
          <w:rFonts w:ascii="Times New Roman" w:hAnsi="Times New Roman"/>
          <w:b/>
          <w:sz w:val="20"/>
        </w:rPr>
      </w:pPr>
      <w:r>
        <w:rPr>
          <w:rFonts w:ascii="Times New Roman" w:hAnsi="Times New Roman"/>
          <w:b/>
          <w:sz w:val="20"/>
        </w:rPr>
        <w:t xml:space="preserve">Seller Notes </w:t>
      </w:r>
    </w:p>
    <w:p>
      <w:pPr>
        <w:pStyle w:val="TextBody"/>
        <w:bidi w:val="0"/>
        <w:spacing w:before="120" w:after="0"/>
        <w:jc w:val="left"/>
        <w:rPr>
          <w:rFonts w:ascii="Times New Roman" w:hAnsi="Times New Roman"/>
          <w:sz w:val="20"/>
        </w:rPr>
      </w:pPr>
      <w:r>
        <w:rPr>
          <w:rFonts w:ascii="Times New Roman" w:hAnsi="Times New Roman"/>
          <w:sz w:val="20"/>
        </w:rPr>
        <w:t xml:space="preserve">In certain acquisitions, the Company has issued notes payable to the sellers (“Seller Notes”) of businesses. Certain of these notes remain outstanding as of December 31, 2025. The Seller Notes outstanding as of December 31, 2025 include regularly scheduled interest payments at rates ranging from 5.0% to 12.0%, and maturity dates ranging from 2026 to 2035. </w:t>
      </w:r>
    </w:p>
    <w:p>
      <w:pPr>
        <w:pStyle w:val="TextBody"/>
        <w:bidi w:val="0"/>
        <w:spacing w:before="240" w:after="0"/>
        <w:jc w:val="left"/>
        <w:rPr>
          <w:rFonts w:ascii="Times New Roman" w:hAnsi="Times New Roman"/>
          <w:sz w:val="20"/>
        </w:rPr>
      </w:pPr>
      <w:r>
        <w:rPr>
          <w:rFonts w:ascii="Times New Roman" w:hAnsi="Times New Roman"/>
          <w:sz w:val="20"/>
        </w:rPr>
        <w:t xml:space="preserve">The principal balance of outstanding Seller Notes was $29.9 million and $10.1 million as of December 31, 2025 and 2024, respectively. Seller Notes are recorded in the Consolidated Balance Sheets net of unamortized discounts. The carrying value of Seller Notes was $23.3 million and $6.3 million as of December 31, 2025 and 2024, respectively. The carrying value of Seller Notes approximates their fair value.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Seller Notes is considered Level 3 in the fair value hierarchy due to pricing inputs that are less observable in the marketplace combined with management judgment required for the assumptions underlying the calculation of value. Certain Seller Notes bear interest at rates that differ from current market yields, which generally results in a fair value that is less than face amount. As of December 31, 2025 and 2024, respectively, the weighted average interest rates on Seller Notes were 7.1% and 5.6%. </w:t>
      </w:r>
    </w:p>
    <w:p>
      <w:pPr>
        <w:pStyle w:val="TextBody"/>
        <w:bidi w:val="0"/>
        <w:spacing w:before="360" w:after="0"/>
        <w:jc w:val="left"/>
        <w:rPr>
          <w:rFonts w:ascii="Times New Roman" w:hAnsi="Times New Roman"/>
          <w:b/>
          <w:sz w:val="20"/>
        </w:rPr>
      </w:pPr>
      <w:r>
        <w:rPr>
          <w:rFonts w:ascii="Times New Roman" w:hAnsi="Times New Roman"/>
          <w:b/>
          <w:sz w:val="20"/>
        </w:rPr>
        <w:t xml:space="preserve">Vehicle and Equipment Loans </w:t>
      </w:r>
    </w:p>
    <w:p>
      <w:pPr>
        <w:pStyle w:val="TextBody"/>
        <w:bidi w:val="0"/>
        <w:spacing w:before="120" w:after="0"/>
        <w:jc w:val="left"/>
        <w:rPr>
          <w:rFonts w:ascii="Times New Roman" w:hAnsi="Times New Roman"/>
          <w:sz w:val="20"/>
        </w:rPr>
      </w:pPr>
      <w:r>
        <w:rPr>
          <w:rFonts w:ascii="Times New Roman" w:hAnsi="Times New Roman"/>
          <w:sz w:val="20"/>
        </w:rPr>
        <w:t xml:space="preserve">The Company’s subsidiaries have various loans for vehicles and equipment used in the normal course of business. The terms are generally five to six years in length and the loans bear interest at agreed upon rates. The loans require monthly principal and interest payments to be made for each vehicle. As of December 31, 2025 and 2024, respectively, there was $4.8 million and $2.6 million of vehicle and equipment loans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Future maturities of long-term debt for the next five years and thereafter as of December 31, 2025 are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26"/>
        <w:gridCol w:w="477"/>
        <w:gridCol w:w="140"/>
        <w:gridCol w:w="933"/>
        <w:gridCol w:w="63"/>
      </w:tblGrid>
      <w:tr>
        <w:trPr/>
        <w:tc>
          <w:tcPr>
            <w:tcW w:w="5326"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206,982</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23,009</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10,793</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13,190</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32,777</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19,439</w:t>
            </w:r>
          </w:p>
        </w:tc>
        <w:tc>
          <w:tcPr>
            <w:tcW w:w="63" w:type="dxa"/>
            <w:tcBorders/>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306,190</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Company fails to comply with any covenants, payments, or other terms of its debt agreements, and such failure constitutes an event of default, the lender would have the right to declare all borrowings outstanding, together with accrued and unpaid interest and fees, to be immediately due and payable. </w:t>
      </w:r>
    </w:p>
    <w:p>
      <w:pPr>
        <w:pStyle w:val="TextBody"/>
        <w:bidi w:val="0"/>
        <w:spacing w:before="360" w:after="0"/>
        <w:jc w:val="left"/>
        <w:rPr>
          <w:rFonts w:ascii="Times New Roman" w:hAnsi="Times New Roman"/>
          <w:b/>
          <w:sz w:val="20"/>
        </w:rPr>
      </w:pPr>
      <w:r>
        <w:rPr>
          <w:rFonts w:ascii="Times New Roman" w:hAnsi="Times New Roman"/>
          <w:b/>
          <w:sz w:val="20"/>
        </w:rPr>
        <w:t xml:space="preserve">NOTE 10 – 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financial assets and liabilities are included at the amount at which the instrument could be exchanged in a current transaction between willing parties, other than in a forced liquidation sale.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financial liabilities included in Short-Term Debt and Current Portion of Long-Term Debt and Long-Term Debt, Net in the Consolidated Balance Sheets approximate the carrying value of the instrument, unless otherwise disclosed in NOTE 9. The fair value of debt instruments were estimated using an income approach and are classified as Level 3 within the fair value hierarchy due to pricing inputs that are less observable in the marketplace combined with management judgment required for the assumptions underlying the calculation of value.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assessed that the fair value of cash and cash equivalents, trade receivables, trade payables, and other liabilities approximate carrying amounts largely due to the short-term maturities or recent commencement of these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Recurring fair value measurements </w:t>
      </w:r>
    </w:p>
    <w:p>
      <w:pPr>
        <w:pStyle w:val="TextBody"/>
        <w:bidi w:val="0"/>
        <w:spacing w:before="120" w:after="0"/>
        <w:jc w:val="left"/>
        <w:rPr>
          <w:rFonts w:ascii="Times New Roman" w:hAnsi="Times New Roman"/>
          <w:i/>
          <w:sz w:val="20"/>
        </w:rPr>
      </w:pPr>
      <w:r>
        <w:rPr>
          <w:rFonts w:ascii="Times New Roman" w:hAnsi="Times New Roman"/>
          <w:i/>
          <w:sz w:val="20"/>
        </w:rPr>
        <w:t xml:space="preserve">Level 3 Disclosures: </w:t>
      </w:r>
    </w:p>
    <w:p>
      <w:pPr>
        <w:pStyle w:val="TextBody"/>
        <w:bidi w:val="0"/>
        <w:spacing w:before="12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issued warrants to i80 Group LLC in May 2021 (Series B-1) in connection with the closing of the i80 Facility and January 2022 (Series C-1) in connection with an amendment to the i80 Facility. In December 2023, the Company issued warrants (Series D-1) to Sound Point Agency LLC in connection with the closing of the Sound Point Facility (“Sound Point Warrants”). The Sound Point Warrants vest based on the highest aggregate commitment from lenders through the draw period under the Sound Point Facility up to the total targeted commitment of $150 million. As of December 31, 2025 and 2024, there were 24,565 vested warrants. The Company issued warrants (Series E-1) to counterparties to TDC Loans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Warrants are initially capitalized at their fair value as an asset and a corresponding Warrant Liability in the Consolidated Balance Sheets. The amount capitalized as an asset is considered a deferred financing cost, and is amortized to Interest Expense, Net on a straight-line basis over the term of the related debt instrument.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related credit facility is repaid or otherwise extinguished prior to maturity, any unamortized deferred financing costs are written off to Loss on Extinguishment of Debt in the period of repayment. The Warrant Liability is recorded at fair value in the Consolidated Balance Sheets with changes in fair value recognized in Change in Fair Value of Warrant Liability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tables below summarize the outstanding warrants: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415"/>
        <w:gridCol w:w="341"/>
        <w:gridCol w:w="89"/>
        <w:gridCol w:w="1213"/>
        <w:gridCol w:w="60"/>
        <w:gridCol w:w="341"/>
        <w:gridCol w:w="268"/>
        <w:gridCol w:w="1112"/>
        <w:gridCol w:w="60"/>
        <w:gridCol w:w="341"/>
        <w:gridCol w:w="89"/>
        <w:gridCol w:w="1213"/>
        <w:gridCol w:w="60"/>
        <w:gridCol w:w="340"/>
        <w:gridCol w:w="268"/>
        <w:gridCol w:w="1112"/>
        <w:gridCol w:w="66"/>
      </w:tblGrid>
      <w:tr>
        <w:trPr/>
        <w:tc>
          <w:tcPr>
            <w:tcW w:w="2415"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41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30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30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66" w:type="dxa"/>
            <w:tcBorders/>
            <w:vAlign w:val="bottom"/>
          </w:tcPr>
          <w:p>
            <w:pPr>
              <w:pStyle w:val="TableContents"/>
              <w:bidi w:val="0"/>
              <w:spacing w:before="0" w:after="283"/>
              <w:jc w:val="left"/>
              <w:rPr/>
            </w:pPr>
            <w:r>
              <w:rPr/>
              <w:t> </w:t>
            </w:r>
          </w:p>
        </w:tc>
      </w:tr>
      <w:tr>
        <w:trPr/>
        <w:tc>
          <w:tcPr>
            <w:tcW w:w="241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br/>
              <w:t>Outstanding</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Per Warrant</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br/>
              <w:t>Outstanding</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Per Warrant</w:t>
            </w:r>
          </w:p>
        </w:tc>
        <w:tc>
          <w:tcPr>
            <w:tcW w:w="66" w:type="dxa"/>
            <w:tcBorders/>
            <w:vAlign w:val="bottom"/>
          </w:tcPr>
          <w:p>
            <w:pPr>
              <w:pStyle w:val="TableContents"/>
              <w:bidi w:val="0"/>
              <w:spacing w:before="0" w:after="283"/>
              <w:jc w:val="left"/>
              <w:rPr/>
            </w:pPr>
            <w:r>
              <w:rPr/>
              <w:t> </w:t>
            </w:r>
          </w:p>
        </w:tc>
      </w:tr>
      <w:tr>
        <w:trPr/>
        <w:tc>
          <w:tcPr>
            <w:tcW w:w="2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B-1</w:t>
            </w:r>
          </w:p>
        </w:tc>
        <w:tc>
          <w:tcPr>
            <w:tcW w:w="34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77,258</w:t>
            </w:r>
          </w:p>
        </w:tc>
        <w:tc>
          <w:tcPr>
            <w:tcW w:w="6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27.31</w:t>
            </w:r>
          </w:p>
        </w:tc>
        <w:tc>
          <w:tcPr>
            <w:tcW w:w="6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77,258</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40.33</w:t>
            </w:r>
          </w:p>
        </w:tc>
        <w:tc>
          <w:tcPr>
            <w:tcW w:w="66" w:type="dxa"/>
            <w:tcBorders/>
            <w:shd w:fill="CCEEFF" w:val="clear"/>
            <w:vAlign w:val="bottom"/>
          </w:tcPr>
          <w:p>
            <w:pPr>
              <w:pStyle w:val="TableContents"/>
              <w:bidi w:val="0"/>
              <w:spacing w:before="0" w:after="283"/>
              <w:jc w:val="left"/>
              <w:rPr/>
            </w:pPr>
            <w:r>
              <w:rPr/>
              <w:t> </w:t>
            </w:r>
          </w:p>
        </w:tc>
      </w:tr>
      <w:tr>
        <w:trPr/>
        <w:tc>
          <w:tcPr>
            <w:tcW w:w="2415" w:type="dxa"/>
            <w:tcBorders/>
          </w:tcPr>
          <w:p>
            <w:pPr>
              <w:pStyle w:val="TableContents"/>
              <w:bidi w:val="0"/>
              <w:spacing w:before="0" w:after="0"/>
              <w:jc w:val="left"/>
              <w:rPr>
                <w:rFonts w:ascii="Times New Roman" w:hAnsi="Times New Roman"/>
                <w:sz w:val="20"/>
              </w:rPr>
            </w:pPr>
            <w:r>
              <w:rPr>
                <w:rFonts w:ascii="Times New Roman" w:hAnsi="Times New Roman"/>
                <w:sz w:val="20"/>
              </w:rPr>
              <w:t>Series C-1</w:t>
            </w:r>
          </w:p>
        </w:tc>
        <w:tc>
          <w:tcPr>
            <w:tcW w:w="34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76,394</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6.09</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76,394</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30.80</w:t>
            </w:r>
          </w:p>
        </w:tc>
        <w:tc>
          <w:tcPr>
            <w:tcW w:w="66" w:type="dxa"/>
            <w:tcBorders/>
            <w:vAlign w:val="bottom"/>
          </w:tcPr>
          <w:p>
            <w:pPr>
              <w:pStyle w:val="TableContents"/>
              <w:bidi w:val="0"/>
              <w:spacing w:before="0" w:after="283"/>
              <w:jc w:val="left"/>
              <w:rPr/>
            </w:pPr>
            <w:r>
              <w:rPr/>
              <w:t> </w:t>
            </w:r>
          </w:p>
        </w:tc>
      </w:tr>
      <w:tr>
        <w:trPr/>
        <w:tc>
          <w:tcPr>
            <w:tcW w:w="2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D-1</w:t>
            </w:r>
          </w:p>
        </w:tc>
        <w:tc>
          <w:tcPr>
            <w:tcW w:w="34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49,130</w:t>
            </w:r>
          </w:p>
        </w:tc>
        <w:tc>
          <w:tcPr>
            <w:tcW w:w="6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9.28</w:t>
            </w:r>
          </w:p>
        </w:tc>
        <w:tc>
          <w:tcPr>
            <w:tcW w:w="6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49,130</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37.77</w:t>
            </w:r>
          </w:p>
        </w:tc>
        <w:tc>
          <w:tcPr>
            <w:tcW w:w="66" w:type="dxa"/>
            <w:tcBorders/>
            <w:shd w:fill="CCEEFF" w:val="clear"/>
            <w:vAlign w:val="bottom"/>
          </w:tcPr>
          <w:p>
            <w:pPr>
              <w:pStyle w:val="TableContents"/>
              <w:bidi w:val="0"/>
              <w:spacing w:before="0" w:after="283"/>
              <w:jc w:val="left"/>
              <w:rPr/>
            </w:pPr>
            <w:r>
              <w:rPr/>
              <w:t> </w:t>
            </w:r>
          </w:p>
        </w:tc>
      </w:tr>
      <w:tr>
        <w:trPr/>
        <w:tc>
          <w:tcPr>
            <w:tcW w:w="2415" w:type="dxa"/>
            <w:tcBorders/>
          </w:tcPr>
          <w:p>
            <w:pPr>
              <w:pStyle w:val="TableContents"/>
              <w:bidi w:val="0"/>
              <w:spacing w:before="0" w:after="0"/>
              <w:jc w:val="left"/>
              <w:rPr>
                <w:rFonts w:ascii="Times New Roman" w:hAnsi="Times New Roman"/>
                <w:sz w:val="20"/>
              </w:rPr>
            </w:pPr>
            <w:r>
              <w:rPr>
                <w:rFonts w:ascii="Times New Roman" w:hAnsi="Times New Roman"/>
                <w:sz w:val="20"/>
              </w:rPr>
              <w:t>Series E-1</w:t>
            </w:r>
          </w:p>
        </w:tc>
        <w:tc>
          <w:tcPr>
            <w:tcW w:w="34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15,558</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7.64</w:t>
            </w:r>
          </w:p>
        </w:tc>
        <w:tc>
          <w:tcPr>
            <w:tcW w:w="6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415"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415" w:type="dxa"/>
            <w:tcBorders/>
            <w:shd w:fill="CCEEFF" w:val="clear"/>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218,340</w:t>
            </w:r>
          </w:p>
        </w:tc>
        <w:tc>
          <w:tcPr>
            <w:tcW w:w="6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202,782</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415"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of outstanding warrants is classified as Level 3 in the fair value hierarchy due to the use of </w:t>
      </w:r>
    </w:p>
    <w:p>
      <w:pPr>
        <w:pStyle w:val="TextBody"/>
        <w:bidi w:val="0"/>
        <w:spacing w:before="0" w:after="0"/>
        <w:jc w:val="left"/>
        <w:rPr>
          <w:rFonts w:ascii="Times New Roman" w:hAnsi="Times New Roman"/>
          <w:sz w:val="20"/>
        </w:rPr>
      </w:pPr>
      <w:r>
        <w:rPr>
          <w:rFonts w:ascii="Times New Roman" w:hAnsi="Times New Roman"/>
          <w:sz w:val="20"/>
        </w:rPr>
        <w:t xml:space="preserve">pricing inputs that are less observable in the marketplace combined with management judgment required for the assumptions underlying the calculation of value. During the year ended December 31, 2025, the Company determined the estimated fair value of all outstanding warrants using the Black-Scholes option-pricing model across scenarios reflecting both the consummation of the SPAC Merger as well as on a going-concern basis. During the year ended December 31, 2024, the Company estimated the fair value of all outstanding warrants using the Black-Scholes model on a going-concern basis.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weighted average inputs across the two scenarios used to calculate the fair value of the warrants as of December 31, 2025: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107"/>
        <w:gridCol w:w="418"/>
        <w:gridCol w:w="140"/>
        <w:gridCol w:w="561"/>
        <w:gridCol w:w="276"/>
        <w:gridCol w:w="316"/>
        <w:gridCol w:w="140"/>
        <w:gridCol w:w="561"/>
        <w:gridCol w:w="276"/>
        <w:gridCol w:w="316"/>
        <w:gridCol w:w="140"/>
        <w:gridCol w:w="561"/>
        <w:gridCol w:w="276"/>
        <w:gridCol w:w="316"/>
        <w:gridCol w:w="140"/>
        <w:gridCol w:w="561"/>
        <w:gridCol w:w="283"/>
      </w:tblGrid>
      <w:tr>
        <w:trPr/>
        <w:tc>
          <w:tcPr>
            <w:tcW w:w="4107"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107"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w:t>
              <w:br/>
              <w:t>B-1</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w:t>
              <w:br/>
              <w:t>C-1</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w:t>
              <w:br/>
              <w:t>D-1</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w:t>
              <w:br/>
              <w:t>E-1</w:t>
            </w:r>
          </w:p>
        </w:tc>
        <w:tc>
          <w:tcPr>
            <w:tcW w:w="283" w:type="dxa"/>
            <w:tcBorders/>
            <w:vAlign w:val="bottom"/>
          </w:tcPr>
          <w:p>
            <w:pPr>
              <w:pStyle w:val="TableContents"/>
              <w:bidi w:val="0"/>
              <w:spacing w:before="0" w:after="283"/>
              <w:jc w:val="left"/>
              <w:rPr/>
            </w:pPr>
            <w:r>
              <w:rPr/>
              <w:t> </w:t>
            </w:r>
          </w:p>
        </w:tc>
      </w:tr>
      <w:tr>
        <w:trPr/>
        <w:tc>
          <w:tcPr>
            <w:tcW w:w="4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16.50</w:t>
            </w:r>
          </w:p>
        </w:tc>
        <w:tc>
          <w:tcPr>
            <w:tcW w:w="27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47.12</w:t>
            </w:r>
          </w:p>
        </w:tc>
        <w:tc>
          <w:tcPr>
            <w:tcW w:w="27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76.33</w:t>
            </w:r>
          </w:p>
        </w:tc>
        <w:tc>
          <w:tcPr>
            <w:tcW w:w="27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76.33</w:t>
            </w:r>
          </w:p>
        </w:tc>
        <w:tc>
          <w:tcPr>
            <w:tcW w:w="283" w:type="dxa"/>
            <w:tcBorders/>
            <w:shd w:fill="CCEEFF" w:val="clear"/>
            <w:vAlign w:val="bottom"/>
          </w:tcPr>
          <w:p>
            <w:pPr>
              <w:pStyle w:val="TableContents"/>
              <w:bidi w:val="0"/>
              <w:spacing w:before="0" w:after="283"/>
              <w:jc w:val="left"/>
              <w:rPr/>
            </w:pPr>
            <w:r>
              <w:rPr/>
              <w:t> </w:t>
            </w:r>
          </w:p>
        </w:tc>
      </w:tr>
      <w:tr>
        <w:trPr/>
        <w:tc>
          <w:tcPr>
            <w:tcW w:w="4107" w:type="dxa"/>
            <w:tcBorders/>
          </w:tcPr>
          <w:p>
            <w:pPr>
              <w:pStyle w:val="TableContents"/>
              <w:bidi w:val="0"/>
              <w:spacing w:before="0" w:after="0"/>
              <w:jc w:val="left"/>
              <w:rPr>
                <w:rFonts w:ascii="Times New Roman" w:hAnsi="Times New Roman"/>
                <w:sz w:val="20"/>
              </w:rPr>
            </w:pPr>
            <w:r>
              <w:rPr>
                <w:rFonts w:ascii="Times New Roman" w:hAnsi="Times New Roman"/>
                <w:sz w:val="20"/>
              </w:rPr>
              <w:t>Stock price</w:t>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43.14</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46.31</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71.55</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71.55</w:t>
            </w:r>
          </w:p>
        </w:tc>
        <w:tc>
          <w:tcPr>
            <w:tcW w:w="283" w:type="dxa"/>
            <w:tcBorders/>
            <w:vAlign w:val="bottom"/>
          </w:tcPr>
          <w:p>
            <w:pPr>
              <w:pStyle w:val="TableContents"/>
              <w:bidi w:val="0"/>
              <w:spacing w:before="0" w:after="283"/>
              <w:jc w:val="left"/>
              <w:rPr/>
            </w:pPr>
            <w:r>
              <w:rPr/>
              <w:t> </w:t>
            </w:r>
          </w:p>
        </w:tc>
      </w:tr>
      <w:tr>
        <w:trPr/>
        <w:tc>
          <w:tcPr>
            <w:tcW w:w="4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remaining term (in years)</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0.77</w:t>
            </w:r>
          </w:p>
        </w:tc>
        <w:tc>
          <w:tcPr>
            <w:tcW w:w="27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0.95</w:t>
            </w:r>
          </w:p>
        </w:tc>
        <w:tc>
          <w:tcPr>
            <w:tcW w:w="27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1.43</w:t>
            </w:r>
          </w:p>
        </w:tc>
        <w:tc>
          <w:tcPr>
            <w:tcW w:w="27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0.89</w:t>
            </w:r>
          </w:p>
        </w:tc>
        <w:tc>
          <w:tcPr>
            <w:tcW w:w="283" w:type="dxa"/>
            <w:tcBorders/>
            <w:shd w:fill="CCEEFF" w:val="clear"/>
            <w:vAlign w:val="bottom"/>
          </w:tcPr>
          <w:p>
            <w:pPr>
              <w:pStyle w:val="TableContents"/>
              <w:bidi w:val="0"/>
              <w:spacing w:before="0" w:after="283"/>
              <w:jc w:val="left"/>
              <w:rPr/>
            </w:pPr>
            <w:r>
              <w:rPr/>
              <w:t> </w:t>
            </w:r>
          </w:p>
        </w:tc>
      </w:tr>
      <w:tr>
        <w:trPr/>
        <w:tc>
          <w:tcPr>
            <w:tcW w:w="4107"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3.65</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3.68</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3.70</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3.65</w:t>
            </w:r>
          </w:p>
        </w:tc>
        <w:tc>
          <w:tcPr>
            <w:tcW w:w="283" w:type="dxa"/>
            <w:tcBorders/>
            <w:vAlign w:val="bottom"/>
          </w:tcPr>
          <w:p>
            <w:pPr>
              <w:pStyle w:val="TableContents"/>
              <w:bidi w:val="0"/>
              <w:spacing w:before="0" w:after="283"/>
              <w:jc w:val="left"/>
              <w:rPr/>
            </w:pPr>
            <w:r>
              <w:rPr/>
              <w:t>% </w:t>
            </w:r>
          </w:p>
        </w:tc>
      </w:tr>
      <w:tr>
        <w:trPr/>
        <w:tc>
          <w:tcPr>
            <w:tcW w:w="4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40.00</w:t>
            </w:r>
          </w:p>
        </w:tc>
        <w:tc>
          <w:tcPr>
            <w:tcW w:w="27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40.00</w:t>
            </w:r>
          </w:p>
        </w:tc>
        <w:tc>
          <w:tcPr>
            <w:tcW w:w="27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40.00</w:t>
            </w:r>
          </w:p>
        </w:tc>
        <w:tc>
          <w:tcPr>
            <w:tcW w:w="27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40.00</w:t>
            </w:r>
          </w:p>
        </w:tc>
        <w:tc>
          <w:tcPr>
            <w:tcW w:w="283" w:type="dxa"/>
            <w:tcBorders/>
            <w:shd w:fill="CCEEFF" w:val="clear"/>
            <w:vAlign w:val="bottom"/>
          </w:tcPr>
          <w:p>
            <w:pPr>
              <w:pStyle w:val="TableContents"/>
              <w:bidi w:val="0"/>
              <w:spacing w:before="0" w:after="283"/>
              <w:jc w:val="left"/>
              <w:rPr/>
            </w:pPr>
            <w:r>
              <w:rPr/>
              <w:t>% </w:t>
            </w:r>
          </w:p>
        </w:tc>
      </w:tr>
      <w:tr>
        <w:trPr/>
        <w:tc>
          <w:tcPr>
            <w:tcW w:w="4107" w:type="dxa"/>
            <w:tcBorders/>
          </w:tcPr>
          <w:p>
            <w:pPr>
              <w:pStyle w:val="TableContents"/>
              <w:bidi w:val="0"/>
              <w:spacing w:before="0" w:after="0"/>
              <w:jc w:val="left"/>
              <w:rPr>
                <w:rFonts w:ascii="Times New Roman" w:hAnsi="Times New Roman"/>
                <w:sz w:val="20"/>
              </w:rPr>
            </w:pPr>
            <w:r>
              <w:rPr>
                <w:rFonts w:ascii="Times New Roman" w:hAnsi="Times New Roman"/>
                <w:sz w:val="20"/>
              </w:rPr>
              <w:t>Expected vesting percentage</w:t>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N/A</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N/A</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50.00</w:t>
            </w:r>
          </w:p>
        </w:tc>
        <w:tc>
          <w:tcPr>
            <w:tcW w:w="27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N/A</w:t>
            </w:r>
          </w:p>
        </w:tc>
        <w:tc>
          <w:tcPr>
            <w:tcW w:w="28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inputs used to calculate the fair value of the warrants as of December 31,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77"/>
        <w:gridCol w:w="417"/>
        <w:gridCol w:w="140"/>
        <w:gridCol w:w="563"/>
        <w:gridCol w:w="277"/>
        <w:gridCol w:w="315"/>
        <w:gridCol w:w="140"/>
        <w:gridCol w:w="563"/>
        <w:gridCol w:w="277"/>
        <w:gridCol w:w="315"/>
        <w:gridCol w:w="140"/>
        <w:gridCol w:w="563"/>
        <w:gridCol w:w="285"/>
      </w:tblGrid>
      <w:tr>
        <w:trPr/>
        <w:tc>
          <w:tcPr>
            <w:tcW w:w="4577"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4577"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w:t>
              <w:br/>
              <w:t>B-1</w:t>
            </w:r>
          </w:p>
        </w:tc>
        <w:tc>
          <w:tcPr>
            <w:tcW w:w="27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w:t>
              <w:br/>
              <w:t>C-1</w:t>
            </w:r>
          </w:p>
        </w:tc>
        <w:tc>
          <w:tcPr>
            <w:tcW w:w="27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w:t>
              <w:br/>
              <w:t>D-1</w:t>
            </w:r>
          </w:p>
        </w:tc>
        <w:tc>
          <w:tcPr>
            <w:tcW w:w="285" w:type="dxa"/>
            <w:tcBorders/>
            <w:vAlign w:val="bottom"/>
          </w:tcPr>
          <w:p>
            <w:pPr>
              <w:pStyle w:val="TableContents"/>
              <w:bidi w:val="0"/>
              <w:spacing w:before="0" w:after="283"/>
              <w:jc w:val="left"/>
              <w:rPr/>
            </w:pPr>
            <w:r>
              <w:rPr/>
              <w:t> </w:t>
            </w:r>
          </w:p>
        </w:tc>
      </w:tr>
      <w:tr>
        <w:trPr/>
        <w:tc>
          <w:tcPr>
            <w:tcW w:w="45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4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16.50</w:t>
            </w:r>
          </w:p>
        </w:tc>
        <w:tc>
          <w:tcPr>
            <w:tcW w:w="277"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47.12</w:t>
            </w:r>
          </w:p>
        </w:tc>
        <w:tc>
          <w:tcPr>
            <w:tcW w:w="277"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76.33</w:t>
            </w:r>
          </w:p>
        </w:tc>
        <w:tc>
          <w:tcPr>
            <w:tcW w:w="285" w:type="dxa"/>
            <w:tcBorders/>
            <w:shd w:fill="CCEEFF" w:val="clear"/>
            <w:vAlign w:val="bottom"/>
          </w:tcPr>
          <w:p>
            <w:pPr>
              <w:pStyle w:val="TableContents"/>
              <w:bidi w:val="0"/>
              <w:spacing w:before="0" w:after="283"/>
              <w:jc w:val="left"/>
              <w:rPr/>
            </w:pPr>
            <w:r>
              <w:rPr/>
              <w:t> </w:t>
            </w:r>
          </w:p>
        </w:tc>
      </w:tr>
      <w:tr>
        <w:trPr/>
        <w:tc>
          <w:tcPr>
            <w:tcW w:w="4577" w:type="dxa"/>
            <w:tcBorders/>
          </w:tcPr>
          <w:p>
            <w:pPr>
              <w:pStyle w:val="TableContents"/>
              <w:bidi w:val="0"/>
              <w:spacing w:before="0" w:after="0"/>
              <w:jc w:val="left"/>
              <w:rPr>
                <w:rFonts w:ascii="Times New Roman" w:hAnsi="Times New Roman"/>
                <w:sz w:val="20"/>
              </w:rPr>
            </w:pPr>
            <w:r>
              <w:rPr>
                <w:rFonts w:ascii="Times New Roman" w:hAnsi="Times New Roman"/>
                <w:sz w:val="20"/>
              </w:rPr>
              <w:t>Stock price</w:t>
            </w:r>
          </w:p>
        </w:tc>
        <w:tc>
          <w:tcPr>
            <w:tcW w:w="4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54.26</w:t>
            </w:r>
          </w:p>
        </w:tc>
        <w:tc>
          <w:tcPr>
            <w:tcW w:w="27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63.73</w:t>
            </w:r>
          </w:p>
        </w:tc>
        <w:tc>
          <w:tcPr>
            <w:tcW w:w="27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76.33</w:t>
            </w:r>
          </w:p>
        </w:tc>
        <w:tc>
          <w:tcPr>
            <w:tcW w:w="285" w:type="dxa"/>
            <w:tcBorders/>
            <w:vAlign w:val="bottom"/>
          </w:tcPr>
          <w:p>
            <w:pPr>
              <w:pStyle w:val="TableContents"/>
              <w:bidi w:val="0"/>
              <w:spacing w:before="0" w:after="283"/>
              <w:jc w:val="left"/>
              <w:rPr/>
            </w:pPr>
            <w:r>
              <w:rPr/>
              <w:t> </w:t>
            </w:r>
          </w:p>
        </w:tc>
      </w:tr>
      <w:tr>
        <w:trPr/>
        <w:tc>
          <w:tcPr>
            <w:tcW w:w="45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remaining term (in years)</w:t>
            </w:r>
          </w:p>
        </w:tc>
        <w:tc>
          <w:tcPr>
            <w:tcW w:w="4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3.34</w:t>
            </w:r>
          </w:p>
        </w:tc>
        <w:tc>
          <w:tcPr>
            <w:tcW w:w="277"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4.06</w:t>
            </w:r>
          </w:p>
        </w:tc>
        <w:tc>
          <w:tcPr>
            <w:tcW w:w="277"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5.98</w:t>
            </w:r>
          </w:p>
        </w:tc>
        <w:tc>
          <w:tcPr>
            <w:tcW w:w="285" w:type="dxa"/>
            <w:tcBorders/>
            <w:shd w:fill="CCEEFF" w:val="clear"/>
            <w:vAlign w:val="bottom"/>
          </w:tcPr>
          <w:p>
            <w:pPr>
              <w:pStyle w:val="TableContents"/>
              <w:bidi w:val="0"/>
              <w:spacing w:before="0" w:after="283"/>
              <w:jc w:val="left"/>
              <w:rPr/>
            </w:pPr>
            <w:r>
              <w:rPr/>
              <w:t> </w:t>
            </w:r>
          </w:p>
        </w:tc>
      </w:tr>
      <w:tr>
        <w:trPr/>
        <w:tc>
          <w:tcPr>
            <w:tcW w:w="4577"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4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4.30</w:t>
            </w:r>
          </w:p>
        </w:tc>
        <w:tc>
          <w:tcPr>
            <w:tcW w:w="27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4.30</w:t>
            </w:r>
          </w:p>
        </w:tc>
        <w:tc>
          <w:tcPr>
            <w:tcW w:w="27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4.40</w:t>
            </w:r>
          </w:p>
        </w:tc>
        <w:tc>
          <w:tcPr>
            <w:tcW w:w="285" w:type="dxa"/>
            <w:tcBorders/>
            <w:vAlign w:val="bottom"/>
          </w:tcPr>
          <w:p>
            <w:pPr>
              <w:pStyle w:val="TableContents"/>
              <w:bidi w:val="0"/>
              <w:spacing w:before="0" w:after="283"/>
              <w:jc w:val="left"/>
              <w:rPr/>
            </w:pPr>
            <w:r>
              <w:rPr/>
              <w:t>% </w:t>
            </w:r>
          </w:p>
        </w:tc>
      </w:tr>
      <w:tr>
        <w:trPr/>
        <w:tc>
          <w:tcPr>
            <w:tcW w:w="45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4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40.00</w:t>
            </w:r>
          </w:p>
        </w:tc>
        <w:tc>
          <w:tcPr>
            <w:tcW w:w="277"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40.00</w:t>
            </w:r>
          </w:p>
        </w:tc>
        <w:tc>
          <w:tcPr>
            <w:tcW w:w="277"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45.00</w:t>
            </w:r>
          </w:p>
        </w:tc>
        <w:tc>
          <w:tcPr>
            <w:tcW w:w="285" w:type="dxa"/>
            <w:tcBorders/>
            <w:shd w:fill="CCEEFF" w:val="clear"/>
            <w:vAlign w:val="bottom"/>
          </w:tcPr>
          <w:p>
            <w:pPr>
              <w:pStyle w:val="TableContents"/>
              <w:bidi w:val="0"/>
              <w:spacing w:before="0" w:after="283"/>
              <w:jc w:val="left"/>
              <w:rPr/>
            </w:pPr>
            <w:r>
              <w:rPr/>
              <w:t>% </w:t>
            </w:r>
          </w:p>
        </w:tc>
      </w:tr>
      <w:tr>
        <w:trPr/>
        <w:tc>
          <w:tcPr>
            <w:tcW w:w="4577" w:type="dxa"/>
            <w:tcBorders/>
          </w:tcPr>
          <w:p>
            <w:pPr>
              <w:pStyle w:val="TableContents"/>
              <w:bidi w:val="0"/>
              <w:spacing w:before="0" w:after="0"/>
              <w:jc w:val="left"/>
              <w:rPr>
                <w:rFonts w:ascii="Times New Roman" w:hAnsi="Times New Roman"/>
                <w:sz w:val="20"/>
              </w:rPr>
            </w:pPr>
            <w:r>
              <w:rPr>
                <w:rFonts w:ascii="Times New Roman" w:hAnsi="Times New Roman"/>
                <w:sz w:val="20"/>
              </w:rPr>
              <w:t>Expected vesting percentage</w:t>
            </w:r>
          </w:p>
        </w:tc>
        <w:tc>
          <w:tcPr>
            <w:tcW w:w="4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N/A</w:t>
            </w:r>
          </w:p>
        </w:tc>
        <w:tc>
          <w:tcPr>
            <w:tcW w:w="27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N/A</w:t>
            </w:r>
          </w:p>
        </w:tc>
        <w:tc>
          <w:tcPr>
            <w:tcW w:w="27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62.50</w:t>
            </w:r>
          </w:p>
        </w:tc>
        <w:tc>
          <w:tcPr>
            <w:tcW w:w="28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changes in the warrant liability for the years ended December 31, 2025 and 2024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16"/>
        <w:gridCol w:w="467"/>
        <w:gridCol w:w="148"/>
        <w:gridCol w:w="646"/>
        <w:gridCol w:w="162"/>
      </w:tblGrid>
      <w:tr>
        <w:trPr/>
        <w:tc>
          <w:tcPr>
            <w:tcW w:w="5516"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2024</w:t>
            </w:r>
          </w:p>
        </w:tc>
        <w:tc>
          <w:tcPr>
            <w:tcW w:w="46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646" w:type="dxa"/>
            <w:tcBorders/>
            <w:shd w:fill="CCEEFF" w:val="clear"/>
            <w:vAlign w:val="bottom"/>
          </w:tcPr>
          <w:p>
            <w:pPr>
              <w:pStyle w:val="TableContents"/>
              <w:bidi w:val="0"/>
              <w:spacing w:before="0" w:after="283"/>
              <w:jc w:val="right"/>
              <w:rPr/>
            </w:pPr>
            <w:r>
              <w:rPr/>
              <w:t>7,323</w:t>
            </w:r>
          </w:p>
        </w:tc>
        <w:tc>
          <w:tcPr>
            <w:tcW w:w="162" w:type="dxa"/>
            <w:tcBorders/>
            <w:shd w:fill="CCEEFF" w:val="clear"/>
            <w:vAlign w:val="bottom"/>
          </w:tcPr>
          <w:p>
            <w:pPr>
              <w:pStyle w:val="TableContents"/>
              <w:bidi w:val="0"/>
              <w:spacing w:before="0" w:after="283"/>
              <w:jc w:val="left"/>
              <w:rPr/>
            </w:pPr>
            <w:r>
              <w:rPr/>
              <w:t> </w:t>
            </w:r>
          </w:p>
        </w:tc>
      </w:tr>
      <w:tr>
        <w:trP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pPr>
            <w:r>
              <w:rPr/>
              <w:t>(702</w:t>
            </w:r>
          </w:p>
        </w:tc>
        <w:tc>
          <w:tcPr>
            <w:tcW w:w="162" w:type="dxa"/>
            <w:tcBorders/>
            <w:vAlign w:val="bottom"/>
          </w:tcPr>
          <w:p>
            <w:pPr>
              <w:pStyle w:val="TableContents"/>
              <w:bidi w:val="0"/>
              <w:spacing w:before="0" w:after="283"/>
              <w:jc w:val="left"/>
              <w:rPr/>
            </w:pPr>
            <w:r>
              <w:rPr/>
              <w:t>) </w:t>
            </w:r>
          </w:p>
        </w:tc>
      </w:tr>
      <w:tr>
        <w:trPr/>
        <w:tc>
          <w:tcPr>
            <w:tcW w:w="5516"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46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646" w:type="dxa"/>
            <w:tcBorders/>
            <w:shd w:fill="CCEEFF" w:val="clear"/>
            <w:vAlign w:val="bottom"/>
          </w:tcPr>
          <w:p>
            <w:pPr>
              <w:pStyle w:val="TableContents"/>
              <w:bidi w:val="0"/>
              <w:spacing w:before="0" w:after="283"/>
              <w:jc w:val="right"/>
              <w:rPr/>
            </w:pPr>
            <w:r>
              <w:rPr/>
              <w:t>6,620</w:t>
            </w:r>
          </w:p>
        </w:tc>
        <w:tc>
          <w:tcPr>
            <w:tcW w:w="162" w:type="dxa"/>
            <w:tcBorders/>
            <w:shd w:fill="CCEEFF" w:val="clear"/>
            <w:vAlign w:val="bottom"/>
          </w:tcPr>
          <w:p>
            <w:pPr>
              <w:pStyle w:val="TableContents"/>
              <w:bidi w:val="0"/>
              <w:spacing w:before="0" w:after="283"/>
              <w:jc w:val="left"/>
              <w:rPr/>
            </w:pPr>
            <w:r>
              <w:rPr/>
              <w:t> </w:t>
            </w:r>
          </w:p>
        </w:tc>
      </w:tr>
      <w:tr>
        <w:trPr/>
        <w:tc>
          <w:tcPr>
            <w:tcW w:w="5516"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E-1 warrants</w:t>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pPr>
            <w:r>
              <w:rPr/>
              <w:t>258</w:t>
            </w:r>
          </w:p>
        </w:tc>
        <w:tc>
          <w:tcPr>
            <w:tcW w:w="162" w:type="dxa"/>
            <w:tcBorders/>
            <w:vAlign w:val="bottom"/>
          </w:tcPr>
          <w:p>
            <w:pPr>
              <w:pStyle w:val="TableContents"/>
              <w:bidi w:val="0"/>
              <w:spacing w:before="0" w:after="283"/>
              <w:jc w:val="left"/>
              <w:rPr/>
            </w:pPr>
            <w:r>
              <w:rPr/>
              <w:t> </w:t>
            </w:r>
          </w:p>
        </w:tc>
      </w:tr>
      <w:tr>
        <w:trP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46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pPr>
            <w:r>
              <w:rPr/>
              <w:t>(3,956</w:t>
            </w:r>
          </w:p>
        </w:tc>
        <w:tc>
          <w:tcPr>
            <w:tcW w:w="162" w:type="dxa"/>
            <w:tcBorders/>
            <w:shd w:fill="CCEEFF" w:val="clear"/>
            <w:vAlign w:val="bottom"/>
          </w:tcPr>
          <w:p>
            <w:pPr>
              <w:pStyle w:val="TableContents"/>
              <w:bidi w:val="0"/>
              <w:spacing w:before="0" w:after="283"/>
              <w:jc w:val="left"/>
              <w:rPr/>
            </w:pPr>
            <w:r>
              <w:rPr/>
              <w:t>) </w:t>
            </w:r>
          </w:p>
        </w:tc>
      </w:tr>
      <w:tr>
        <w:trPr/>
        <w:tc>
          <w:tcPr>
            <w:tcW w:w="5516"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646" w:type="dxa"/>
            <w:tcBorders/>
            <w:vAlign w:val="bottom"/>
          </w:tcPr>
          <w:p>
            <w:pPr>
              <w:pStyle w:val="TableContents"/>
              <w:bidi w:val="0"/>
              <w:spacing w:before="0" w:after="283"/>
              <w:jc w:val="right"/>
              <w:rPr/>
            </w:pPr>
            <w:r>
              <w:rPr/>
              <w:t>2,922</w:t>
            </w:r>
          </w:p>
        </w:tc>
        <w:tc>
          <w:tcPr>
            <w:tcW w:w="162" w:type="dxa"/>
            <w:tcBorders/>
            <w:vAlign w:val="bottom"/>
          </w:tcPr>
          <w:p>
            <w:pPr>
              <w:pStyle w:val="TableContents"/>
              <w:bidi w:val="0"/>
              <w:spacing w:before="0" w:after="283"/>
              <w:jc w:val="left"/>
              <w:rPr/>
            </w:pPr>
            <w:r>
              <w:rPr/>
              <w:t> </w:t>
            </w:r>
          </w:p>
        </w:tc>
      </w:tr>
      <w:tr>
        <w:trPr/>
        <w:tc>
          <w:tcPr>
            <w:tcW w:w="5516"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Contingent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earnout clauses embedded within certain purchase agreements for acquired Operating Subsidiaries. The contingent consideration in the earnout agreements is contingent on certain future financial metrics being achieved for a certain period of time. The earnout liabilities are recorded at fair value as Contingent Consideration in the Consolidated Balance Sheets with the changes in fair value recognized in earnings each reporting period. For additional detail regarding the earnout agreements, see NOTE 2 and NOTE 4.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contingent consideration is considered Level 3 in the fair value hierarchy due to pricing inputs that are less observable in the marketplace combined with management judgment required for the assumptions underlying the calculation of value. The Company calculated the fair value of the contingent consideration using a Monte Carlo simulation model.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changes in contingent consideration liabilities for the years ended December 31, 2025 and 2024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16"/>
        <w:gridCol w:w="467"/>
        <w:gridCol w:w="148"/>
        <w:gridCol w:w="646"/>
        <w:gridCol w:w="162"/>
      </w:tblGrid>
      <w:tr>
        <w:trPr/>
        <w:tc>
          <w:tcPr>
            <w:tcW w:w="5516"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2024</w:t>
            </w:r>
          </w:p>
        </w:tc>
        <w:tc>
          <w:tcPr>
            <w:tcW w:w="46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646" w:type="dxa"/>
            <w:tcBorders/>
            <w:shd w:fill="CCEEFF" w:val="clear"/>
            <w:vAlign w:val="bottom"/>
          </w:tcPr>
          <w:p>
            <w:pPr>
              <w:pStyle w:val="TableContents"/>
              <w:bidi w:val="0"/>
              <w:spacing w:before="0" w:after="283"/>
              <w:jc w:val="right"/>
              <w:rPr/>
            </w:pPr>
            <w:r>
              <w:rPr/>
              <w:t>7,077</w:t>
            </w:r>
          </w:p>
        </w:tc>
        <w:tc>
          <w:tcPr>
            <w:tcW w:w="162" w:type="dxa"/>
            <w:tcBorders/>
            <w:shd w:fill="CCEEFF" w:val="clear"/>
            <w:vAlign w:val="bottom"/>
          </w:tcPr>
          <w:p>
            <w:pPr>
              <w:pStyle w:val="TableContents"/>
              <w:bidi w:val="0"/>
              <w:spacing w:before="0" w:after="283"/>
              <w:jc w:val="left"/>
              <w:rPr/>
            </w:pPr>
            <w:r>
              <w:rPr/>
              <w:t> </w:t>
            </w:r>
          </w:p>
        </w:tc>
      </w:tr>
      <w:tr>
        <w:trP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Earnouts for 2024 business combinations</w:t>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pPr>
            <w:r>
              <w:rPr/>
              <w:t>339</w:t>
            </w:r>
          </w:p>
        </w:tc>
        <w:tc>
          <w:tcPr>
            <w:tcW w:w="162" w:type="dxa"/>
            <w:tcBorders/>
            <w:vAlign w:val="bottom"/>
          </w:tcPr>
          <w:p>
            <w:pPr>
              <w:pStyle w:val="TableContents"/>
              <w:bidi w:val="0"/>
              <w:spacing w:before="0" w:after="283"/>
              <w:jc w:val="left"/>
              <w:rPr/>
            </w:pPr>
            <w:r>
              <w:rPr/>
              <w:t> </w:t>
            </w:r>
          </w:p>
        </w:tc>
      </w:tr>
      <w:tr>
        <w:trP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earnout consideration</w:t>
            </w:r>
          </w:p>
        </w:tc>
        <w:tc>
          <w:tcPr>
            <w:tcW w:w="46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pPr>
            <w:r>
              <w:rPr/>
              <w:t>91</w:t>
            </w:r>
          </w:p>
        </w:tc>
        <w:tc>
          <w:tcPr>
            <w:tcW w:w="162" w:type="dxa"/>
            <w:tcBorders/>
            <w:shd w:fill="CCEEFF" w:val="clear"/>
            <w:vAlign w:val="bottom"/>
          </w:tcPr>
          <w:p>
            <w:pPr>
              <w:pStyle w:val="TableContents"/>
              <w:bidi w:val="0"/>
              <w:spacing w:before="0" w:after="283"/>
              <w:jc w:val="left"/>
              <w:rPr/>
            </w:pPr>
            <w:r>
              <w:rPr/>
              <w:t> </w:t>
            </w:r>
          </w:p>
        </w:tc>
      </w:tr>
      <w:tr>
        <w:trP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Earnout payments made in period</w:t>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pPr>
            <w:r>
              <w:rPr/>
              <w:t>(3,758</w:t>
            </w:r>
          </w:p>
        </w:tc>
        <w:tc>
          <w:tcPr>
            <w:tcW w:w="162" w:type="dxa"/>
            <w:tcBorders/>
            <w:vAlign w:val="bottom"/>
          </w:tcPr>
          <w:p>
            <w:pPr>
              <w:pStyle w:val="TableContents"/>
              <w:bidi w:val="0"/>
              <w:spacing w:before="0" w:after="283"/>
              <w:jc w:val="left"/>
              <w:rPr/>
            </w:pPr>
            <w:r>
              <w:rPr/>
              <w:t>) </w:t>
            </w:r>
          </w:p>
        </w:tc>
      </w:tr>
      <w:tr>
        <w:trPr/>
        <w:tc>
          <w:tcPr>
            <w:tcW w:w="5516"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46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646" w:type="dxa"/>
            <w:tcBorders/>
            <w:shd w:fill="CCEEFF" w:val="clear"/>
            <w:vAlign w:val="bottom"/>
          </w:tcPr>
          <w:p>
            <w:pPr>
              <w:pStyle w:val="TableContents"/>
              <w:bidi w:val="0"/>
              <w:spacing w:before="0" w:after="283"/>
              <w:jc w:val="right"/>
              <w:rPr/>
            </w:pPr>
            <w:r>
              <w:rPr/>
              <w:t>3,748</w:t>
            </w:r>
          </w:p>
        </w:tc>
        <w:tc>
          <w:tcPr>
            <w:tcW w:w="162" w:type="dxa"/>
            <w:tcBorders/>
            <w:shd w:fill="CCEEFF" w:val="clear"/>
            <w:vAlign w:val="bottom"/>
          </w:tcPr>
          <w:p>
            <w:pPr>
              <w:pStyle w:val="TableContents"/>
              <w:bidi w:val="0"/>
              <w:spacing w:before="0" w:after="283"/>
              <w:jc w:val="left"/>
              <w:rPr/>
            </w:pPr>
            <w:r>
              <w:rPr/>
              <w:t> </w:t>
            </w:r>
          </w:p>
        </w:tc>
      </w:tr>
      <w:tr>
        <w:trP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Earnouts for 2025 business combinations</w:t>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pPr>
            <w:r>
              <w:rPr/>
              <w:t>6,182</w:t>
            </w:r>
          </w:p>
        </w:tc>
        <w:tc>
          <w:tcPr>
            <w:tcW w:w="162" w:type="dxa"/>
            <w:tcBorders/>
            <w:vAlign w:val="bottom"/>
          </w:tcPr>
          <w:p>
            <w:pPr>
              <w:pStyle w:val="TableContents"/>
              <w:bidi w:val="0"/>
              <w:spacing w:before="0" w:after="283"/>
              <w:jc w:val="left"/>
              <w:rPr/>
            </w:pPr>
            <w:r>
              <w:rPr/>
              <w:t> </w:t>
            </w:r>
          </w:p>
        </w:tc>
      </w:tr>
      <w:tr>
        <w:trP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earnout consideration</w:t>
            </w:r>
          </w:p>
        </w:tc>
        <w:tc>
          <w:tcPr>
            <w:tcW w:w="46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pPr>
            <w:r>
              <w:rPr/>
              <w:t>1,326</w:t>
            </w:r>
          </w:p>
        </w:tc>
        <w:tc>
          <w:tcPr>
            <w:tcW w:w="162" w:type="dxa"/>
            <w:tcBorders/>
            <w:shd w:fill="CCEEFF" w:val="clear"/>
            <w:vAlign w:val="bottom"/>
          </w:tcPr>
          <w:p>
            <w:pPr>
              <w:pStyle w:val="TableContents"/>
              <w:bidi w:val="0"/>
              <w:spacing w:before="0" w:after="283"/>
              <w:jc w:val="left"/>
              <w:rPr/>
            </w:pPr>
            <w:r>
              <w:rPr/>
              <w:t> </w:t>
            </w:r>
          </w:p>
        </w:tc>
      </w:tr>
      <w:tr>
        <w:trP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Earnout payments made in period</w:t>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pPr>
            <w:r>
              <w:rPr/>
              <w:t>(2,060</w:t>
            </w:r>
          </w:p>
        </w:tc>
        <w:tc>
          <w:tcPr>
            <w:tcW w:w="162" w:type="dxa"/>
            <w:tcBorders/>
            <w:vAlign w:val="bottom"/>
          </w:tcPr>
          <w:p>
            <w:pPr>
              <w:pStyle w:val="TableContents"/>
              <w:bidi w:val="0"/>
              <w:spacing w:before="0" w:after="283"/>
              <w:jc w:val="left"/>
              <w:rPr/>
            </w:pPr>
            <w:r>
              <w:rPr/>
              <w:t>) </w:t>
            </w:r>
          </w:p>
        </w:tc>
      </w:tr>
      <w:tr>
        <w:trPr/>
        <w:tc>
          <w:tcPr>
            <w:tcW w:w="5516"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46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646" w:type="dxa"/>
            <w:tcBorders/>
            <w:shd w:fill="CCEEFF" w:val="clear"/>
            <w:vAlign w:val="bottom"/>
          </w:tcPr>
          <w:p>
            <w:pPr>
              <w:pStyle w:val="TableContents"/>
              <w:bidi w:val="0"/>
              <w:spacing w:before="0" w:after="283"/>
              <w:jc w:val="right"/>
              <w:rPr/>
            </w:pPr>
            <w:r>
              <w:rPr/>
              <w:t>9,195</w:t>
            </w:r>
          </w:p>
        </w:tc>
        <w:tc>
          <w:tcPr>
            <w:tcW w:w="162" w:type="dxa"/>
            <w:tcBorders/>
            <w:shd w:fill="CCEEFF" w:val="clear"/>
            <w:vAlign w:val="bottom"/>
          </w:tcPr>
          <w:p>
            <w:pPr>
              <w:pStyle w:val="TableContents"/>
              <w:bidi w:val="0"/>
              <w:spacing w:before="0" w:after="283"/>
              <w:jc w:val="left"/>
              <w:rPr/>
            </w:pPr>
            <w:r>
              <w:rPr/>
              <w:t> </w:t>
            </w:r>
          </w:p>
        </w:tc>
      </w:tr>
      <w:tr>
        <w:trPr/>
        <w:tc>
          <w:tcPr>
            <w:tcW w:w="5516"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Monte Carlo simulation model uses inputs and assumptions to measure the fair value of the contingent consideration that includes metric volatility, risk-free rate, metric discount rate, and Teamshares’ discount rate. The table below summarizes the inputs used to calculate the fair value of the contingent consideration as of December 31, 2025 and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38"/>
        <w:gridCol w:w="419"/>
        <w:gridCol w:w="85"/>
        <w:gridCol w:w="1422"/>
        <w:gridCol w:w="276"/>
        <w:gridCol w:w="328"/>
        <w:gridCol w:w="85"/>
        <w:gridCol w:w="1422"/>
        <w:gridCol w:w="280"/>
      </w:tblGrid>
      <w:tr>
        <w:trPr/>
        <w:tc>
          <w:tcPr>
            <w:tcW w:w="3438"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438"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5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276"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5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280" w:type="dxa"/>
            <w:tcBorders/>
            <w:vAlign w:val="bottom"/>
          </w:tcPr>
          <w:p>
            <w:pPr>
              <w:pStyle w:val="TableContents"/>
              <w:bidi w:val="0"/>
              <w:spacing w:before="0" w:after="283"/>
              <w:jc w:val="left"/>
              <w:rPr/>
            </w:pPr>
            <w:r>
              <w:rPr/>
              <w:t> </w:t>
            </w:r>
          </w:p>
        </w:tc>
      </w:tr>
      <w:tr>
        <w:trPr/>
        <w:tc>
          <w:tcPr>
            <w:tcW w:w="3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Metric volatility (range for different acquisitions)</w:t>
            </w:r>
          </w:p>
        </w:tc>
        <w:tc>
          <w:tcPr>
            <w:tcW w:w="41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1 - 55</w:t>
            </w:r>
          </w:p>
        </w:tc>
        <w:tc>
          <w:tcPr>
            <w:tcW w:w="276"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1 - 55</w:t>
            </w:r>
          </w:p>
        </w:tc>
        <w:tc>
          <w:tcPr>
            <w:tcW w:w="280" w:type="dxa"/>
            <w:tcBorders/>
            <w:shd w:fill="CCEEFF" w:val="clear"/>
            <w:vAlign w:val="bottom"/>
          </w:tcPr>
          <w:p>
            <w:pPr>
              <w:pStyle w:val="TableContents"/>
              <w:bidi w:val="0"/>
              <w:spacing w:before="0" w:after="283"/>
              <w:jc w:val="left"/>
              <w:rPr/>
            </w:pPr>
            <w:r>
              <w:rPr/>
              <w:t>% </w:t>
            </w:r>
          </w:p>
        </w:tc>
      </w:tr>
      <w:tr>
        <w:trPr/>
        <w:tc>
          <w:tcPr>
            <w:tcW w:w="3438" w:type="dxa"/>
            <w:tcBorders/>
          </w:tcPr>
          <w:p>
            <w:pPr>
              <w:pStyle w:val="TableContents"/>
              <w:bidi w:val="0"/>
              <w:spacing w:before="0" w:after="0"/>
              <w:jc w:val="left"/>
              <w:rPr>
                <w:rFonts w:ascii="Times New Roman" w:hAnsi="Times New Roman"/>
                <w:sz w:val="20"/>
              </w:rPr>
            </w:pPr>
            <w:r>
              <w:rPr>
                <w:rFonts w:ascii="Times New Roman" w:hAnsi="Times New Roman"/>
                <w:sz w:val="20"/>
              </w:rPr>
              <w:t>Risk-free rate (range for different acquisitions)</w:t>
            </w:r>
          </w:p>
        </w:tc>
        <w:tc>
          <w:tcPr>
            <w:tcW w:w="41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0.0 - 3.7</w:t>
            </w:r>
          </w:p>
        </w:tc>
        <w:tc>
          <w:tcPr>
            <w:tcW w:w="276"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4.2 - 4.4</w:t>
            </w:r>
          </w:p>
        </w:tc>
        <w:tc>
          <w:tcPr>
            <w:tcW w:w="280" w:type="dxa"/>
            <w:tcBorders/>
            <w:vAlign w:val="bottom"/>
          </w:tcPr>
          <w:p>
            <w:pPr>
              <w:pStyle w:val="TableContents"/>
              <w:bidi w:val="0"/>
              <w:spacing w:before="0" w:after="283"/>
              <w:jc w:val="left"/>
              <w:rPr/>
            </w:pPr>
            <w:r>
              <w:rPr/>
              <w:t>% </w:t>
            </w:r>
          </w:p>
        </w:tc>
      </w:tr>
      <w:tr>
        <w:trPr/>
        <w:tc>
          <w:tcPr>
            <w:tcW w:w="3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Metric discount rate (range for different acquisitions)</w:t>
            </w:r>
          </w:p>
        </w:tc>
        <w:tc>
          <w:tcPr>
            <w:tcW w:w="41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3.5 - 26.0</w:t>
            </w:r>
          </w:p>
        </w:tc>
        <w:tc>
          <w:tcPr>
            <w:tcW w:w="276"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4.8 - 27.3</w:t>
            </w:r>
          </w:p>
        </w:tc>
        <w:tc>
          <w:tcPr>
            <w:tcW w:w="280" w:type="dxa"/>
            <w:tcBorders/>
            <w:shd w:fill="CCEEFF" w:val="clear"/>
            <w:vAlign w:val="bottom"/>
          </w:tcPr>
          <w:p>
            <w:pPr>
              <w:pStyle w:val="TableContents"/>
              <w:bidi w:val="0"/>
              <w:spacing w:before="0" w:after="283"/>
              <w:jc w:val="left"/>
              <w:rPr/>
            </w:pPr>
            <w:r>
              <w:rPr/>
              <w:t>% </w:t>
            </w:r>
          </w:p>
        </w:tc>
      </w:tr>
      <w:tr>
        <w:trPr/>
        <w:tc>
          <w:tcPr>
            <w:tcW w:w="3438" w:type="dxa"/>
            <w:tcBorders/>
          </w:tcPr>
          <w:p>
            <w:pPr>
              <w:pStyle w:val="TableContents"/>
              <w:bidi w:val="0"/>
              <w:spacing w:before="0" w:after="0"/>
              <w:jc w:val="left"/>
              <w:rPr>
                <w:rFonts w:ascii="Times New Roman" w:hAnsi="Times New Roman"/>
                <w:sz w:val="20"/>
              </w:rPr>
            </w:pPr>
            <w:r>
              <w:rPr>
                <w:rFonts w:ascii="Times New Roman" w:hAnsi="Times New Roman"/>
                <w:sz w:val="20"/>
              </w:rPr>
              <w:t>Teamshares discount rate</w:t>
            </w:r>
          </w:p>
        </w:tc>
        <w:tc>
          <w:tcPr>
            <w:tcW w:w="41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13.3</w:t>
            </w:r>
          </w:p>
        </w:tc>
        <w:tc>
          <w:tcPr>
            <w:tcW w:w="276"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13.3</w:t>
            </w:r>
          </w:p>
        </w:tc>
        <w:tc>
          <w:tcPr>
            <w:tcW w:w="280" w:type="dxa"/>
            <w:tcBorders/>
            <w:vAlign w:val="bottom"/>
          </w:tcPr>
          <w:p>
            <w:pPr>
              <w:pStyle w:val="TableContents"/>
              <w:bidi w:val="0"/>
              <w:spacing w:before="0" w:after="283"/>
              <w:jc w:val="left"/>
              <w:rPr/>
            </w:pPr>
            <w:r>
              <w:rPr/>
              <w:t>% </w:t>
            </w:r>
          </w:p>
        </w:tc>
      </w:tr>
      <w:tr>
        <w:trPr/>
        <w:tc>
          <w:tcPr>
            <w:tcW w:w="3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(in years)</w:t>
            </w:r>
          </w:p>
        </w:tc>
        <w:tc>
          <w:tcPr>
            <w:tcW w:w="41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4 - 7</w:t>
            </w:r>
          </w:p>
        </w:tc>
        <w:tc>
          <w:tcPr>
            <w:tcW w:w="276"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3 - 7</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There were no transfers of financial instruments between the three levels of the fair value hierarchy during the years ended December 31, 2025 and 2024. </w:t>
      </w:r>
    </w:p>
    <w:p>
      <w:pPr>
        <w:pStyle w:val="TextBody"/>
        <w:bidi w:val="0"/>
        <w:spacing w:before="360" w:after="0"/>
        <w:jc w:val="left"/>
        <w:rPr>
          <w:rFonts w:ascii="Times New Roman" w:hAnsi="Times New Roman"/>
          <w:b/>
          <w:sz w:val="20"/>
        </w:rPr>
      </w:pPr>
      <w:r>
        <w:rPr>
          <w:rFonts w:ascii="Times New Roman" w:hAnsi="Times New Roman"/>
          <w:b/>
          <w:sz w:val="20"/>
        </w:rPr>
        <w:t xml:space="preserve">NOTE 11 –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determines if an arrangement is a lease at inception and recognizes the corresponding right-of-use assets and lease liabilities in the Consolidated Balance Sheets. The Company primarily leases real estate, vehicles, and equipment. </w:t>
      </w:r>
    </w:p>
    <w:p>
      <w:pPr>
        <w:pStyle w:val="TextBody"/>
        <w:bidi w:val="0"/>
        <w:spacing w:before="240" w:after="0"/>
        <w:jc w:val="left"/>
        <w:rPr>
          <w:rFonts w:ascii="Times New Roman" w:hAnsi="Times New Roman"/>
          <w:sz w:val="20"/>
        </w:rPr>
      </w:pPr>
      <w:r>
        <w:rPr>
          <w:rFonts w:ascii="Times New Roman" w:hAnsi="Times New Roman"/>
          <w:sz w:val="20"/>
        </w:rPr>
        <w:t xml:space="preserve">The ROU asset and lease liability are initially measured at the present value of future lease payments, discounted using the Company’s incremental borrowing rate. The incremental borrowing rate is estimated using the borrowing rate on the Company’s debt instruments and movements in the average spread on comparable publicly traded corporate debt. </w:t>
      </w:r>
    </w:p>
    <w:p>
      <w:pPr>
        <w:pStyle w:val="TextBody"/>
        <w:bidi w:val="0"/>
        <w:spacing w:before="240" w:after="0"/>
        <w:jc w:val="left"/>
        <w:rPr>
          <w:rFonts w:ascii="Times New Roman" w:hAnsi="Times New Roman"/>
          <w:sz w:val="20"/>
        </w:rPr>
      </w:pPr>
      <w:r>
        <w:rPr>
          <w:rFonts w:ascii="Times New Roman" w:hAnsi="Times New Roman"/>
          <w:sz w:val="20"/>
        </w:rPr>
        <w:t xml:space="preserve">The ROU asset and lease liability are calculated including options to extend the lease when the Company determines that it is reasonably certain that it will exercise those options.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elected to not separate lease components from non-lease components for all asset classes. The Company made an accounting policy election to not recognize an ROU asset and lease liability for leases with an initial term of 12 months or less and will recognize payments for such leases in the Company’s Consolidated Statements of Operations on a straight-line basis over the lease term. The Company also made an accounting policy election, related to leases acquired through acquisitions, to not recognize an ROU asset and lease liability for acquired leases that have a remaining lease term of 12 months or less at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Operating leases were included on the Company’s Consolidated Balance Sheets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25"/>
        <w:gridCol w:w="565"/>
        <w:gridCol w:w="241"/>
        <w:gridCol w:w="1177"/>
        <w:gridCol w:w="275"/>
        <w:gridCol w:w="475"/>
        <w:gridCol w:w="241"/>
        <w:gridCol w:w="1177"/>
        <w:gridCol w:w="279"/>
      </w:tblGrid>
      <w:tr>
        <w:trPr/>
        <w:tc>
          <w:tcPr>
            <w:tcW w:w="3325" w:type="dxa"/>
            <w:tcBorders/>
            <w:vAlign w:val="center"/>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325"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275"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279" w:type="dxa"/>
            <w:tcBorders/>
            <w:vAlign w:val="bottom"/>
          </w:tcPr>
          <w:p>
            <w:pPr>
              <w:pStyle w:val="TableContents"/>
              <w:bidi w:val="0"/>
              <w:spacing w:before="0" w:after="283"/>
              <w:jc w:val="left"/>
              <w:rPr/>
            </w:pPr>
            <w:r>
              <w:rPr/>
              <w:t> </w:t>
            </w:r>
          </w:p>
        </w:tc>
      </w:tr>
      <w:tr>
        <w:trPr/>
        <w:tc>
          <w:tcPr>
            <w:tcW w:w="33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Leases:</w:t>
            </w:r>
          </w:p>
        </w:tc>
        <w:tc>
          <w:tcPr>
            <w:tcW w:w="56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47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7"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332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 of use assets, net</w:t>
            </w:r>
          </w:p>
        </w:tc>
        <w:tc>
          <w:tcPr>
            <w:tcW w:w="56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93,586</w:t>
            </w:r>
          </w:p>
        </w:tc>
        <w:tc>
          <w:tcPr>
            <w:tcW w:w="275"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50,988</w:t>
            </w:r>
          </w:p>
        </w:tc>
        <w:tc>
          <w:tcPr>
            <w:tcW w:w="279" w:type="dxa"/>
            <w:tcBorders/>
            <w:vAlign w:val="bottom"/>
          </w:tcPr>
          <w:p>
            <w:pPr>
              <w:pStyle w:val="TableContents"/>
              <w:bidi w:val="0"/>
              <w:spacing w:before="0" w:after="283"/>
              <w:jc w:val="left"/>
              <w:rPr/>
            </w:pPr>
            <w:r>
              <w:rPr/>
              <w:t> </w:t>
            </w:r>
          </w:p>
        </w:tc>
      </w:tr>
      <w:tr>
        <w:trPr/>
        <w:tc>
          <w:tcPr>
            <w:tcW w:w="3325"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3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obligations</w:t>
            </w:r>
          </w:p>
        </w:tc>
        <w:tc>
          <w:tcPr>
            <w:tcW w:w="56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8,524</w:t>
            </w:r>
          </w:p>
        </w:tc>
        <w:tc>
          <w:tcPr>
            <w:tcW w:w="275"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5,920</w:t>
            </w:r>
          </w:p>
        </w:tc>
        <w:tc>
          <w:tcPr>
            <w:tcW w:w="279" w:type="dxa"/>
            <w:tcBorders/>
            <w:shd w:fill="CCEEFF" w:val="clear"/>
            <w:vAlign w:val="bottom"/>
          </w:tcPr>
          <w:p>
            <w:pPr>
              <w:pStyle w:val="TableContents"/>
              <w:bidi w:val="0"/>
              <w:spacing w:before="0" w:after="283"/>
              <w:jc w:val="left"/>
              <w:rPr/>
            </w:pPr>
            <w:r>
              <w:rPr/>
              <w:t> </w:t>
            </w:r>
          </w:p>
        </w:tc>
      </w:tr>
      <w:tr>
        <w:trPr/>
        <w:tc>
          <w:tcPr>
            <w:tcW w:w="3325"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 obligations</w:t>
            </w:r>
          </w:p>
        </w:tc>
        <w:tc>
          <w:tcPr>
            <w:tcW w:w="56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88,144</w:t>
            </w:r>
          </w:p>
        </w:tc>
        <w:tc>
          <w:tcPr>
            <w:tcW w:w="275"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48,070</w:t>
            </w:r>
          </w:p>
        </w:tc>
        <w:tc>
          <w:tcPr>
            <w:tcW w:w="279" w:type="dxa"/>
            <w:tcBorders/>
            <w:vAlign w:val="bottom"/>
          </w:tcPr>
          <w:p>
            <w:pPr>
              <w:pStyle w:val="TableContents"/>
              <w:bidi w:val="0"/>
              <w:spacing w:before="0" w:after="283"/>
              <w:jc w:val="left"/>
              <w:rPr/>
            </w:pPr>
            <w:r>
              <w:rPr/>
              <w:t> </w:t>
            </w:r>
          </w:p>
        </w:tc>
      </w:tr>
      <w:tr>
        <w:trPr/>
        <w:tc>
          <w:tcPr>
            <w:tcW w:w="3325"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3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liability</w:t>
            </w:r>
          </w:p>
        </w:tc>
        <w:tc>
          <w:tcPr>
            <w:tcW w:w="56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96,668</w:t>
            </w:r>
          </w:p>
        </w:tc>
        <w:tc>
          <w:tcPr>
            <w:tcW w:w="275"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53,990</w:t>
            </w:r>
          </w:p>
        </w:tc>
        <w:tc>
          <w:tcPr>
            <w:tcW w:w="279" w:type="dxa"/>
            <w:tcBorders/>
            <w:shd w:fill="CCEEFF" w:val="clear"/>
            <w:vAlign w:val="bottom"/>
          </w:tcPr>
          <w:p>
            <w:pPr>
              <w:pStyle w:val="TableContents"/>
              <w:bidi w:val="0"/>
              <w:spacing w:before="0" w:after="283"/>
              <w:jc w:val="left"/>
              <w:rPr/>
            </w:pPr>
            <w:r>
              <w:rPr/>
              <w:t> </w:t>
            </w:r>
          </w:p>
        </w:tc>
      </w:tr>
      <w:tr>
        <w:trPr/>
        <w:tc>
          <w:tcPr>
            <w:tcW w:w="3325"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3325"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(years)</w:t>
            </w:r>
          </w:p>
        </w:tc>
        <w:tc>
          <w:tcPr>
            <w:tcW w:w="56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12.0</w:t>
            </w:r>
          </w:p>
        </w:tc>
        <w:tc>
          <w:tcPr>
            <w:tcW w:w="275"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7.6</w:t>
            </w:r>
          </w:p>
        </w:tc>
        <w:tc>
          <w:tcPr>
            <w:tcW w:w="279" w:type="dxa"/>
            <w:tcBorders/>
            <w:vAlign w:val="bottom"/>
          </w:tcPr>
          <w:p>
            <w:pPr>
              <w:pStyle w:val="TableContents"/>
              <w:bidi w:val="0"/>
              <w:spacing w:before="0" w:after="283"/>
              <w:jc w:val="left"/>
              <w:rPr/>
            </w:pPr>
            <w:r>
              <w:rPr/>
              <w:t> </w:t>
            </w:r>
          </w:p>
        </w:tc>
      </w:tr>
      <w:tr>
        <w:trPr/>
        <w:tc>
          <w:tcPr>
            <w:tcW w:w="3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discount rate</w:t>
            </w:r>
          </w:p>
        </w:tc>
        <w:tc>
          <w:tcPr>
            <w:tcW w:w="56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13.94</w:t>
            </w:r>
          </w:p>
        </w:tc>
        <w:tc>
          <w:tcPr>
            <w:tcW w:w="275"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14.66</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Company’s Consolidated Balance Sheet included $1.3 million in net ROU assets and $1.3 million in total lease liabilities related to finance leases, including $0.4 million in current liabilities and $0.9 million in long-term liabilities. As of December 31, 2024, the Company’s Consolidated Balance Sheet included $0.9 million in net ROU assets and $0.9 million in total lease liabilities related to finance leases, including $0.2 million in current liabilities and $0.7 million in long-term liabilities. Finance lease ROU assets are presented within Other Assets in the Consolidated Balance Sheets. The current portion of finance lease liabilities are presented within Other current liabilities, and the non-current portion of finance lease liabilities are presented in Other Long-Term Liabilities on the Consolidated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components of operating lease expense were as follows (dollars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73"/>
        <w:gridCol w:w="501"/>
        <w:gridCol w:w="243"/>
        <w:gridCol w:w="1235"/>
        <w:gridCol w:w="60"/>
        <w:gridCol w:w="501"/>
        <w:gridCol w:w="243"/>
        <w:gridCol w:w="1235"/>
        <w:gridCol w:w="64"/>
      </w:tblGrid>
      <w:tr>
        <w:trPr/>
        <w:tc>
          <w:tcPr>
            <w:tcW w:w="3673"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73"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501"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235" w:type="dxa"/>
            <w:tcBorders/>
            <w:shd w:fill="CCEEFF" w:val="clear"/>
            <w:vAlign w:val="bottom"/>
          </w:tcPr>
          <w:p>
            <w:pPr>
              <w:pStyle w:val="TableContents"/>
              <w:bidi w:val="0"/>
              <w:spacing w:before="0" w:after="283"/>
              <w:jc w:val="right"/>
              <w:rPr/>
            </w:pPr>
            <w:r>
              <w:rPr/>
              <w:t>17,499</w:t>
            </w:r>
          </w:p>
        </w:tc>
        <w:tc>
          <w:tcPr>
            <w:tcW w:w="60"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235" w:type="dxa"/>
            <w:tcBorders/>
            <w:shd w:fill="CCEEFF" w:val="clear"/>
            <w:vAlign w:val="bottom"/>
          </w:tcPr>
          <w:p>
            <w:pPr>
              <w:pStyle w:val="TableContents"/>
              <w:bidi w:val="0"/>
              <w:spacing w:before="0" w:after="283"/>
              <w:jc w:val="right"/>
              <w:rPr/>
            </w:pPr>
            <w:r>
              <w:rPr/>
              <w:t>12,641</w:t>
            </w:r>
          </w:p>
        </w:tc>
        <w:tc>
          <w:tcPr>
            <w:tcW w:w="64" w:type="dxa"/>
            <w:tcBorders/>
            <w:shd w:fill="CCEEFF" w:val="clear"/>
            <w:vAlign w:val="bottom"/>
          </w:tcPr>
          <w:p>
            <w:pPr>
              <w:pStyle w:val="TableContents"/>
              <w:bidi w:val="0"/>
              <w:spacing w:before="0" w:after="283"/>
              <w:jc w:val="left"/>
              <w:rPr/>
            </w:pPr>
            <w:r>
              <w:rPr/>
              <w:t> </w:t>
            </w:r>
          </w:p>
        </w:tc>
      </w:tr>
      <w:tr>
        <w:trPr/>
        <w:tc>
          <w:tcPr>
            <w:tcW w:w="3673" w:type="dxa"/>
            <w:tcBorders/>
          </w:tcPr>
          <w:p>
            <w:pPr>
              <w:pStyle w:val="TableContents"/>
              <w:bidi w:val="0"/>
              <w:spacing w:before="0" w:after="0"/>
              <w:jc w:val="left"/>
              <w:rPr>
                <w:rFonts w:ascii="Times New Roman" w:hAnsi="Times New Roman"/>
                <w:sz w:val="20"/>
              </w:rPr>
            </w:pPr>
            <w:r>
              <w:rPr>
                <w:rFonts w:ascii="Times New Roman" w:hAnsi="Times New Roman"/>
                <w:sz w:val="20"/>
              </w:rPr>
              <w:t>Short-term lease costs</w:t>
            </w:r>
          </w:p>
        </w:tc>
        <w:tc>
          <w:tcPr>
            <w:tcW w:w="501"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2,890</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2,303</w:t>
            </w:r>
          </w:p>
        </w:tc>
        <w:tc>
          <w:tcPr>
            <w:tcW w:w="64" w:type="dxa"/>
            <w:tcBorders/>
            <w:vAlign w:val="bottom"/>
          </w:tcPr>
          <w:p>
            <w:pPr>
              <w:pStyle w:val="TableContents"/>
              <w:bidi w:val="0"/>
              <w:spacing w:before="0" w:after="283"/>
              <w:jc w:val="left"/>
              <w:rPr/>
            </w:pPr>
            <w:r>
              <w:rPr/>
              <w:t> </w:t>
            </w:r>
          </w:p>
        </w:tc>
      </w:tr>
      <w:tr>
        <w:trPr/>
        <w:tc>
          <w:tcPr>
            <w:tcW w:w="3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 lease expense</w:t>
            </w:r>
          </w:p>
        </w:tc>
        <w:tc>
          <w:tcPr>
            <w:tcW w:w="501"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3,035</w:t>
            </w:r>
          </w:p>
        </w:tc>
        <w:tc>
          <w:tcPr>
            <w:tcW w:w="60"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1,551</w:t>
            </w:r>
          </w:p>
        </w:tc>
        <w:tc>
          <w:tcPr>
            <w:tcW w:w="64" w:type="dxa"/>
            <w:tcBorders/>
            <w:shd w:fill="CCEEFF" w:val="clear"/>
            <w:vAlign w:val="bottom"/>
          </w:tcPr>
          <w:p>
            <w:pPr>
              <w:pStyle w:val="TableContents"/>
              <w:bidi w:val="0"/>
              <w:spacing w:before="0" w:after="283"/>
              <w:jc w:val="left"/>
              <w:rPr/>
            </w:pPr>
            <w:r>
              <w:rPr/>
              <w:t> </w:t>
            </w:r>
          </w:p>
        </w:tc>
      </w:tr>
      <w:tr>
        <w:trPr/>
        <w:tc>
          <w:tcPr>
            <w:tcW w:w="367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73"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lease expense, net</w:t>
            </w:r>
          </w:p>
        </w:tc>
        <w:tc>
          <w:tcPr>
            <w:tcW w:w="501"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235" w:type="dxa"/>
            <w:tcBorders/>
            <w:vAlign w:val="bottom"/>
          </w:tcPr>
          <w:p>
            <w:pPr>
              <w:pStyle w:val="TableContents"/>
              <w:bidi w:val="0"/>
              <w:spacing w:before="0" w:after="283"/>
              <w:jc w:val="right"/>
              <w:rPr/>
            </w:pPr>
            <w:r>
              <w:rPr/>
              <w:t>23,425</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235" w:type="dxa"/>
            <w:tcBorders/>
            <w:vAlign w:val="bottom"/>
          </w:tcPr>
          <w:p>
            <w:pPr>
              <w:pStyle w:val="TableContents"/>
              <w:bidi w:val="0"/>
              <w:spacing w:before="0" w:after="283"/>
              <w:jc w:val="right"/>
              <w:rPr/>
            </w:pPr>
            <w:r>
              <w:rPr/>
              <w:t>16,496</w:t>
            </w:r>
          </w:p>
        </w:tc>
        <w:tc>
          <w:tcPr>
            <w:tcW w:w="64" w:type="dxa"/>
            <w:tcBorders/>
            <w:vAlign w:val="bottom"/>
          </w:tcPr>
          <w:p>
            <w:pPr>
              <w:pStyle w:val="TableContents"/>
              <w:bidi w:val="0"/>
              <w:spacing w:before="0" w:after="283"/>
              <w:jc w:val="left"/>
              <w:rPr/>
            </w:pPr>
            <w:r>
              <w:rPr/>
              <w:t> </w:t>
            </w:r>
          </w:p>
        </w:tc>
      </w:tr>
      <w:tr>
        <w:trPr/>
        <w:tc>
          <w:tcPr>
            <w:tcW w:w="367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Finance lease expense for the year ended December 31, 2025 was $0.7 million and included $0.5 million in amortization expense of ROU assets and $0.2 million in interest on lease liabilities. Finance lease expense for the year ended December 31, 2024 was $0.4 million and included $0.3 million in amortization expense of ROU assets and $0.1 million in interest on lease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had sublease income of $3.6 million and $3.0 million for the year ended December 31, 2025 and 2024, respectively. Sublease income is related to an Operating Subsidiary in the corporate housing and rental business. The Company’s subleases are primarily short term in nature, ranging from 30 days to 6 months. The Company does not include any options to extend these leases as it is not reasonably certain to exercise any renewal options related to these leases. </w:t>
      </w:r>
    </w:p>
    <w:p>
      <w:pPr>
        <w:pStyle w:val="TextBody"/>
        <w:bidi w:val="0"/>
        <w:spacing w:before="240" w:after="0"/>
        <w:jc w:val="left"/>
        <w:rPr>
          <w:rFonts w:ascii="Times New Roman" w:hAnsi="Times New Roman"/>
          <w:sz w:val="20"/>
        </w:rPr>
      </w:pPr>
      <w:r>
        <w:rPr>
          <w:rFonts w:ascii="Times New Roman" w:hAnsi="Times New Roman"/>
          <w:sz w:val="20"/>
        </w:rPr>
        <w:t xml:space="preserve">Future minimum lease payments of the Company’s lease obligations over the next five years and thereafter as of December 31, 2025, by year and in the aggregate, were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20"/>
        <w:gridCol w:w="636"/>
        <w:gridCol w:w="140"/>
        <w:gridCol w:w="879"/>
        <w:gridCol w:w="164"/>
      </w:tblGrid>
      <w:tr>
        <w:trPr/>
        <w:tc>
          <w:tcPr>
            <w:tcW w:w="5120" w:type="dxa"/>
            <w:tcBorders/>
            <w:vAlign w:val="center"/>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6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20,468</w:t>
            </w:r>
          </w:p>
        </w:tc>
        <w:tc>
          <w:tcPr>
            <w:tcW w:w="164" w:type="dxa"/>
            <w:tcBorders/>
            <w:shd w:fill="CCEEFF" w:val="clear"/>
            <w:vAlign w:val="bottom"/>
          </w:tcPr>
          <w:p>
            <w:pPr>
              <w:pStyle w:val="TableContents"/>
              <w:bidi w:val="0"/>
              <w:spacing w:before="0" w:after="283"/>
              <w:jc w:val="left"/>
              <w:rPr/>
            </w:pPr>
            <w:r>
              <w:rPr/>
              <w:t> </w:t>
            </w:r>
          </w:p>
        </w:tc>
      </w:tr>
      <w:tr>
        <w:trPr/>
        <w:tc>
          <w:tcPr>
            <w:tcW w:w="5120"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6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19,526</w:t>
            </w:r>
          </w:p>
        </w:tc>
        <w:tc>
          <w:tcPr>
            <w:tcW w:w="164" w:type="dxa"/>
            <w:tcBorders/>
            <w:vAlign w:val="bottom"/>
          </w:tcPr>
          <w:p>
            <w:pPr>
              <w:pStyle w:val="TableContents"/>
              <w:bidi w:val="0"/>
              <w:spacing w:before="0" w:after="283"/>
              <w:jc w:val="left"/>
              <w:rPr/>
            </w:pPr>
            <w:r>
              <w:rPr/>
              <w:t> </w:t>
            </w:r>
          </w:p>
        </w:tc>
      </w:tr>
      <w:tr>
        <w:trPr/>
        <w:tc>
          <w:tcPr>
            <w:tcW w:w="5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6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18,893</w:t>
            </w:r>
          </w:p>
        </w:tc>
        <w:tc>
          <w:tcPr>
            <w:tcW w:w="164" w:type="dxa"/>
            <w:tcBorders/>
            <w:shd w:fill="CCEEFF" w:val="clear"/>
            <w:vAlign w:val="bottom"/>
          </w:tcPr>
          <w:p>
            <w:pPr>
              <w:pStyle w:val="TableContents"/>
              <w:bidi w:val="0"/>
              <w:spacing w:before="0" w:after="283"/>
              <w:jc w:val="left"/>
              <w:rPr/>
            </w:pPr>
            <w:r>
              <w:rPr/>
              <w:t> </w:t>
            </w:r>
          </w:p>
        </w:tc>
      </w:tr>
      <w:tr>
        <w:trPr/>
        <w:tc>
          <w:tcPr>
            <w:tcW w:w="5120"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6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17,761</w:t>
            </w:r>
          </w:p>
        </w:tc>
        <w:tc>
          <w:tcPr>
            <w:tcW w:w="164" w:type="dxa"/>
            <w:tcBorders/>
            <w:vAlign w:val="bottom"/>
          </w:tcPr>
          <w:p>
            <w:pPr>
              <w:pStyle w:val="TableContents"/>
              <w:bidi w:val="0"/>
              <w:spacing w:before="0" w:after="283"/>
              <w:jc w:val="left"/>
              <w:rPr/>
            </w:pPr>
            <w:r>
              <w:rPr/>
              <w:t> </w:t>
            </w:r>
          </w:p>
        </w:tc>
      </w:tr>
      <w:tr>
        <w:trPr/>
        <w:tc>
          <w:tcPr>
            <w:tcW w:w="5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6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16,531</w:t>
            </w:r>
          </w:p>
        </w:tc>
        <w:tc>
          <w:tcPr>
            <w:tcW w:w="164" w:type="dxa"/>
            <w:tcBorders/>
            <w:shd w:fill="CCEEFF" w:val="clear"/>
            <w:vAlign w:val="bottom"/>
          </w:tcPr>
          <w:p>
            <w:pPr>
              <w:pStyle w:val="TableContents"/>
              <w:bidi w:val="0"/>
              <w:spacing w:before="0" w:after="283"/>
              <w:jc w:val="left"/>
              <w:rPr/>
            </w:pPr>
            <w:r>
              <w:rPr/>
              <w:t> </w:t>
            </w:r>
          </w:p>
        </w:tc>
      </w:tr>
      <w:tr>
        <w:trPr/>
        <w:tc>
          <w:tcPr>
            <w:tcW w:w="5120"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6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126,524</w:t>
            </w:r>
          </w:p>
        </w:tc>
        <w:tc>
          <w:tcPr>
            <w:tcW w:w="164" w:type="dxa"/>
            <w:tcBorders/>
            <w:vAlign w:val="bottom"/>
          </w:tcPr>
          <w:p>
            <w:pPr>
              <w:pStyle w:val="TableContents"/>
              <w:bidi w:val="0"/>
              <w:spacing w:before="0" w:after="283"/>
              <w:jc w:val="left"/>
              <w:rPr/>
            </w:pPr>
            <w:r>
              <w:rPr/>
              <w:t> </w:t>
            </w:r>
          </w:p>
        </w:tc>
      </w:tr>
      <w:tr>
        <w:trPr/>
        <w:tc>
          <w:tcPr>
            <w:tcW w:w="512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expected lease payments</w:t>
            </w:r>
          </w:p>
        </w:tc>
        <w:tc>
          <w:tcPr>
            <w:tcW w:w="6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219,704</w:t>
            </w:r>
          </w:p>
        </w:tc>
        <w:tc>
          <w:tcPr>
            <w:tcW w:w="164" w:type="dxa"/>
            <w:tcBorders/>
            <w:shd w:fill="CCEEFF" w:val="clear"/>
            <w:vAlign w:val="bottom"/>
          </w:tcPr>
          <w:p>
            <w:pPr>
              <w:pStyle w:val="TableContents"/>
              <w:bidi w:val="0"/>
              <w:spacing w:before="0" w:after="283"/>
              <w:jc w:val="left"/>
              <w:rPr/>
            </w:pPr>
            <w:r>
              <w:rPr/>
              <w:t> </w:t>
            </w:r>
          </w:p>
        </w:tc>
      </w:tr>
      <w:tr>
        <w:trPr/>
        <w:tc>
          <w:tcPr>
            <w:tcW w:w="5120" w:type="dxa"/>
            <w:tcBorders/>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6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(123,036</w:t>
            </w:r>
          </w:p>
        </w:tc>
        <w:tc>
          <w:tcPr>
            <w:tcW w:w="164" w:type="dxa"/>
            <w:tcBorders/>
            <w:vAlign w:val="bottom"/>
          </w:tcPr>
          <w:p>
            <w:pPr>
              <w:pStyle w:val="TableContents"/>
              <w:bidi w:val="0"/>
              <w:spacing w:before="0" w:after="283"/>
              <w:jc w:val="left"/>
              <w:rPr/>
            </w:pPr>
            <w:r>
              <w:rPr/>
              <w:t>) </w:t>
            </w:r>
          </w:p>
        </w:tc>
      </w:tr>
      <w:tr>
        <w:trPr/>
        <w:tc>
          <w:tcPr>
            <w:tcW w:w="512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liability</w:t>
            </w:r>
          </w:p>
        </w:tc>
        <w:tc>
          <w:tcPr>
            <w:tcW w:w="6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96,668</w:t>
            </w:r>
          </w:p>
        </w:tc>
        <w:tc>
          <w:tcPr>
            <w:tcW w:w="164" w:type="dxa"/>
            <w:tcBorders/>
            <w:shd w:fill="CCEEFF" w:val="clear"/>
            <w:vAlign w:val="bottom"/>
          </w:tcPr>
          <w:p>
            <w:pPr>
              <w:pStyle w:val="TableContents"/>
              <w:bidi w:val="0"/>
              <w:spacing w:before="0" w:after="283"/>
              <w:jc w:val="left"/>
              <w:rPr/>
            </w:pPr>
            <w:r>
              <w:rPr/>
              <w:t> </w:t>
            </w:r>
          </w:p>
        </w:tc>
      </w:tr>
      <w:tr>
        <w:trPr/>
        <w:tc>
          <w:tcPr>
            <w:tcW w:w="512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Supplemental cash flow information related to operating leases for the years ended December 31, 2025 and 2024 was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19"/>
        <w:gridCol w:w="484"/>
        <w:gridCol w:w="242"/>
        <w:gridCol w:w="1230"/>
        <w:gridCol w:w="60"/>
        <w:gridCol w:w="484"/>
        <w:gridCol w:w="242"/>
        <w:gridCol w:w="1230"/>
        <w:gridCol w:w="64"/>
      </w:tblGrid>
      <w:tr>
        <w:trPr/>
        <w:tc>
          <w:tcPr>
            <w:tcW w:w="3719"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19"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3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operating lease liabilities</w:t>
            </w:r>
          </w:p>
        </w:tc>
        <w:tc>
          <w:tcPr>
            <w:tcW w:w="484"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230" w:type="dxa"/>
            <w:tcBorders/>
            <w:shd w:fill="CCEEFF" w:val="clear"/>
            <w:vAlign w:val="bottom"/>
          </w:tcPr>
          <w:p>
            <w:pPr>
              <w:pStyle w:val="TableContents"/>
              <w:bidi w:val="0"/>
              <w:spacing w:before="0" w:after="283"/>
              <w:jc w:val="right"/>
              <w:rPr/>
            </w:pPr>
            <w:r>
              <w:rPr/>
              <w:t>16,440</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230" w:type="dxa"/>
            <w:tcBorders/>
            <w:shd w:fill="CCEEFF" w:val="clear"/>
            <w:vAlign w:val="bottom"/>
          </w:tcPr>
          <w:p>
            <w:pPr>
              <w:pStyle w:val="TableContents"/>
              <w:bidi w:val="0"/>
              <w:spacing w:before="0" w:after="283"/>
              <w:jc w:val="right"/>
              <w:rPr/>
            </w:pPr>
            <w:r>
              <w:rPr/>
              <w:t>11,797</w:t>
            </w:r>
          </w:p>
        </w:tc>
        <w:tc>
          <w:tcPr>
            <w:tcW w:w="64" w:type="dxa"/>
            <w:tcBorders/>
            <w:shd w:fill="CCEEFF" w:val="clear"/>
            <w:vAlign w:val="bottom"/>
          </w:tcPr>
          <w:p>
            <w:pPr>
              <w:pStyle w:val="TableContents"/>
              <w:bidi w:val="0"/>
              <w:spacing w:before="0" w:after="283"/>
              <w:jc w:val="left"/>
              <w:rPr/>
            </w:pPr>
            <w:r>
              <w:rPr/>
              <w:t> </w:t>
            </w:r>
          </w:p>
        </w:tc>
      </w:tr>
      <w:tr>
        <w:trPr/>
        <w:tc>
          <w:tcPr>
            <w:tcW w:w="3719" w:type="dxa"/>
            <w:tcBorders/>
          </w:tcPr>
          <w:p>
            <w:pPr>
              <w:pStyle w:val="TableContents"/>
              <w:bidi w:val="0"/>
              <w:spacing w:before="0" w:after="0"/>
              <w:jc w:val="left"/>
              <w:rPr>
                <w:rFonts w:ascii="Times New Roman" w:hAnsi="Times New Roman"/>
                <w:sz w:val="20"/>
              </w:rPr>
            </w:pPr>
            <w:r>
              <w:rPr>
                <w:rFonts w:ascii="Times New Roman" w:hAnsi="Times New Roman"/>
                <w:sz w:val="20"/>
              </w:rPr>
              <w:t>Right of use assets obtained in exchange for operating lease liabilities</w:t>
            </w:r>
          </w:p>
        </w:tc>
        <w:tc>
          <w:tcPr>
            <w:tcW w:w="484"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230" w:type="dxa"/>
            <w:tcBorders/>
            <w:vAlign w:val="bottom"/>
          </w:tcPr>
          <w:p>
            <w:pPr>
              <w:pStyle w:val="TableContents"/>
              <w:bidi w:val="0"/>
              <w:spacing w:before="0" w:after="283"/>
              <w:jc w:val="right"/>
              <w:rPr/>
            </w:pPr>
            <w:r>
              <w:rPr/>
              <w:t>54,384</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230" w:type="dxa"/>
            <w:tcBorders/>
            <w:vAlign w:val="bottom"/>
          </w:tcPr>
          <w:p>
            <w:pPr>
              <w:pStyle w:val="TableContents"/>
              <w:bidi w:val="0"/>
              <w:spacing w:before="0" w:after="283"/>
              <w:jc w:val="right"/>
              <w:rPr/>
            </w:pPr>
            <w:r>
              <w:rPr/>
              <w:t>11,974</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cash paid for amounts included in the measurement of finance lease liabilities as of December 31, 2025, consisted of $0.2 million in operating cash flows and $0.4 million in financing cash flows. Cash paid for amounts included in the measurement of finance lease liabilities as of December 31, 2024, consisted of less than $0.1 million in operating cash flows and $0.2 million in financing cash flows. </w:t>
      </w:r>
    </w:p>
    <w:p>
      <w:pPr>
        <w:pStyle w:val="TextBody"/>
        <w:bidi w:val="0"/>
        <w:spacing w:before="240" w:after="0"/>
        <w:jc w:val="left"/>
        <w:rPr>
          <w:rFonts w:ascii="Times New Roman" w:hAnsi="Times New Roman"/>
          <w:sz w:val="20"/>
        </w:rPr>
      </w:pPr>
      <w:r>
        <w:rPr>
          <w:rFonts w:ascii="Times New Roman" w:hAnsi="Times New Roman"/>
          <w:sz w:val="20"/>
        </w:rPr>
        <w:t xml:space="preserve">The Company obtained $0.7 million and $1.0 million in ROU assets in exchange for new finance lease liabilities in the years ended December 31, 2025 and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12 – Stockholders’ Equity </w:t>
      </w:r>
    </w:p>
    <w:p>
      <w:pPr>
        <w:pStyle w:val="TextBody"/>
        <w:bidi w:val="0"/>
        <w:spacing w:before="12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Teamshares was authorized to issue 11,307,218 shares of common stock, par value $0.00001, and had 1,174,429 shares of common stock issued and outstanding. As of December 31, 2024, Teamshares was authorized to issue 11,307,218 shares of common stock, par value $0.00001, and had 1,162,180 shares of common stock issued and outstanding. Each share of common stock has one vote in accordance with the Certificate of Incorporation of Teamshares.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Teamshares was authorized to issue 8,428,093 shares of preferred stock with a par value of $0.00001 and had 7,758,235 shares of preferred stock issued and outstanding. As of December 31, 2024, Teamshares was authorized to issue 8,100,554 shares of preferred stock, par value of $0.00001, and had 7,740,549 shares of preferred stock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details related to each of the Company’s classes of preferred stock: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10"/>
        <w:gridCol w:w="247"/>
        <w:gridCol w:w="67"/>
        <w:gridCol w:w="1198"/>
        <w:gridCol w:w="60"/>
        <w:gridCol w:w="247"/>
        <w:gridCol w:w="73"/>
        <w:gridCol w:w="1319"/>
        <w:gridCol w:w="60"/>
        <w:gridCol w:w="247"/>
        <w:gridCol w:w="155"/>
        <w:gridCol w:w="863"/>
        <w:gridCol w:w="60"/>
        <w:gridCol w:w="247"/>
        <w:gridCol w:w="239"/>
        <w:gridCol w:w="1029"/>
        <w:gridCol w:w="67"/>
      </w:tblGrid>
      <w:tr>
        <w:trPr/>
        <w:tc>
          <w:tcPr>
            <w:tcW w:w="321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9321" w:type="dxa"/>
            <w:gridSpan w:val="16"/>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As of December 31, 2025</w:t>
            </w:r>
          </w:p>
        </w:tc>
        <w:tc>
          <w:tcPr>
            <w:tcW w:w="67" w:type="dxa"/>
            <w:tcBorders/>
            <w:vAlign w:val="bottom"/>
          </w:tcPr>
          <w:p>
            <w:pPr>
              <w:pStyle w:val="TableContents"/>
              <w:bidi w:val="0"/>
              <w:spacing w:before="0" w:after="283"/>
              <w:jc w:val="left"/>
              <w:rPr/>
            </w:pPr>
            <w:r>
              <w:rPr/>
              <w:t> </w:t>
            </w:r>
          </w:p>
        </w:tc>
      </w:tr>
      <w:tr>
        <w:trPr/>
        <w:tc>
          <w:tcPr>
            <w:tcW w:w="32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Preferred Stock Class</w:t>
            </w:r>
          </w:p>
        </w:tc>
        <w:tc>
          <w:tcPr>
            <w:tcW w:w="247"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Issued &amp;</w:t>
              <w:br/>
              <w:t>Outstanding</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2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Conversion</w:t>
              <w:br/>
              <w:t>Price</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Seed-1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157,182</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157,182</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2.86</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Seed-2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174,643</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174,643</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2.29</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Seed-AA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564,300</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564,300</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5.32</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A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849,993</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849,993</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8.35</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B-2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59,484</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59,484</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8.15</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B-1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1,289,138</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1,211,880</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16.50</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C-2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3,066</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3,066</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16.30</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C-1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1,986,232</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1,909,838</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47.12</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D-2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4,777</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4,777</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52.33</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D-1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1,871,912</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1,811,666</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76.33</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D-NV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91,711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11,116</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76.33</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E-1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1,310,148</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962,925</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76.33</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E-NV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65,507</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37,365</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76.33</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10"/>
        <w:gridCol w:w="247"/>
        <w:gridCol w:w="67"/>
        <w:gridCol w:w="1198"/>
        <w:gridCol w:w="60"/>
        <w:gridCol w:w="247"/>
        <w:gridCol w:w="73"/>
        <w:gridCol w:w="1319"/>
        <w:gridCol w:w="60"/>
        <w:gridCol w:w="247"/>
        <w:gridCol w:w="155"/>
        <w:gridCol w:w="863"/>
        <w:gridCol w:w="60"/>
        <w:gridCol w:w="247"/>
        <w:gridCol w:w="239"/>
        <w:gridCol w:w="1029"/>
        <w:gridCol w:w="67"/>
      </w:tblGrid>
      <w:tr>
        <w:trPr/>
        <w:tc>
          <w:tcPr>
            <w:tcW w:w="321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9321" w:type="dxa"/>
            <w:gridSpan w:val="16"/>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As of December 31, 2024</w:t>
            </w:r>
          </w:p>
        </w:tc>
        <w:tc>
          <w:tcPr>
            <w:tcW w:w="67" w:type="dxa"/>
            <w:tcBorders/>
            <w:vAlign w:val="bottom"/>
          </w:tcPr>
          <w:p>
            <w:pPr>
              <w:pStyle w:val="TableContents"/>
              <w:bidi w:val="0"/>
              <w:spacing w:before="0" w:after="283"/>
              <w:jc w:val="left"/>
              <w:rPr/>
            </w:pPr>
            <w:r>
              <w:rPr/>
              <w:t> </w:t>
            </w:r>
          </w:p>
        </w:tc>
      </w:tr>
      <w:tr>
        <w:trPr/>
        <w:tc>
          <w:tcPr>
            <w:tcW w:w="32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Preferred Stock Class</w:t>
            </w:r>
          </w:p>
        </w:tc>
        <w:tc>
          <w:tcPr>
            <w:tcW w:w="247"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Issued &amp;</w:t>
              <w:br/>
              <w:t>Outstanding</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 Value</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2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Conversion</w:t>
              <w:br/>
              <w:t>Price</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Seed-1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157,182</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157,182</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2.86</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Seed-2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174,643</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174,643</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2.29</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Seed-AA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564,300</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564,300</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5.32</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A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849,993</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849,993</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8.35</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B-2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59,484</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59,484</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8.15</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B-1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1,289,138</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1,211,880</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16.50</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C-2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3,066</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3,066</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16.30</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C-1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1,986,232</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1,909,838</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47.12</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D-2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4,777</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4,777</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52.33</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D-1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1,871,912</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1,811,666</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76.33</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D-NV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91,711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11,116</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76.33</w:t>
            </w:r>
          </w:p>
        </w:tc>
        <w:tc>
          <w:tcPr>
            <w:tcW w:w="67"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Series E-1 Preferred Stock</w:t>
            </w:r>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982,609</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945,239</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0.00001</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76.33</w:t>
            </w:r>
          </w:p>
        </w:tc>
        <w:tc>
          <w:tcPr>
            <w:tcW w:w="67"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E-NV Preferred Stock</w:t>
            </w:r>
          </w:p>
        </w:tc>
        <w:tc>
          <w:tcPr>
            <w:tcW w:w="24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65,507</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37,365</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0.00001</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76.33</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Each share of preferred stock shall be convertible, at the option of the holder, at any time into such number of fully paid and nonassessable shares of common stock as is determined by dividing the applicable original issue price by the applicable conversion price in effect at the time of conversion. The applicable conversion price is initially equal to the original issue price. In the event of the issuance of additional common stock without consideration or for a consideration per share less than the applicable conversion price for a series of preferred stock in effect immediately prior to such issuance or deemed issuance, then the applicable conversion price for such series shall be reduced, concurrently with such issue, to a price calculated based on the pre-defined formula in the Certificate of Incorporation. As of December 31, 2025 and 2024, the applicable conversion price equaled the original issue price. As of December 31, 2025, if all issued and outstanding shares of preferred stock were converted, then it would result in an additional 7,758,235 shares of outstanding common stock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Each class of preferred stock has similar voting rights.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voluntary or involuntary liquidation, dissolution or winding up of the Company, the holders of preferred stock shall be entitled to be paid out on a </w:t>
      </w:r>
      <w:r>
        <w:rPr>
          <w:rFonts w:ascii="Times New Roman" w:hAnsi="Times New Roman"/>
          <w:i/>
          <w:sz w:val="20"/>
        </w:rPr>
        <w:t xml:space="preserve">pari passu </w:t>
      </w:r>
      <w:r>
        <w:rPr>
          <w:rFonts w:ascii="Times New Roman" w:hAnsi="Times New Roman"/>
          <w:sz w:val="20"/>
        </w:rPr>
        <w:t xml:space="preserve">basis of the assets of the Company available for distribution to its stockholders. After the payment of all preferential amounts required to be paid to the holders of preferred stock are made, the remaining assets are distributed among the holders of shares of common stock on a pro rata basis, based on the number of shares held by each common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accounted for preferred stock as Additional Paid-In Capital in the Consolidated Statements of Stockholders’ Equity. Each class of preferred stock is valued by multiplying the amount of outstanding preferred shares by the original issue price. The Company did not declare or pay any dividends on either its preferred stock or common stock during the years ended December 31, 2025 and 2024.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2025, the Company raised approximately $1.3 million through the issuance of Series E-1 preferred stock. During the year ended December 31, 2024, the Company raised approximately $73.6 million through the issuance of Series E-1 preferred stock. The proceeds from these issuances were utilized to fund the Company’s operations and the equity portion of business combinations. </w:t>
      </w:r>
    </w:p>
    <w:p>
      <w:pPr>
        <w:pStyle w:val="TextBody"/>
        <w:bidi w:val="0"/>
        <w:spacing w:before="360" w:after="0"/>
        <w:jc w:val="left"/>
        <w:rPr>
          <w:rFonts w:ascii="Times New Roman" w:hAnsi="Times New Roman"/>
          <w:b/>
          <w:sz w:val="20"/>
        </w:rPr>
      </w:pPr>
      <w:r>
        <w:rPr>
          <w:rFonts w:ascii="Times New Roman" w:hAnsi="Times New Roman"/>
          <w:b/>
          <w:sz w:val="20"/>
        </w:rPr>
        <w:t xml:space="preserve">Operating Subsidiary Capital Structure </w:t>
      </w:r>
    </w:p>
    <w:p>
      <w:pPr>
        <w:pStyle w:val="TextBody"/>
        <w:bidi w:val="0"/>
        <w:spacing w:before="120" w:after="0"/>
        <w:jc w:val="left"/>
        <w:rPr>
          <w:rFonts w:ascii="Times New Roman" w:hAnsi="Times New Roman"/>
          <w:sz w:val="20"/>
        </w:rPr>
      </w:pPr>
      <w:r>
        <w:rPr>
          <w:rFonts w:ascii="Times New Roman" w:hAnsi="Times New Roman"/>
          <w:sz w:val="20"/>
        </w:rPr>
        <w:t xml:space="preserve">The capital structure of the Operating Subsidiaries includes both preferred stock issued to Teamshares and certain former owners as well as common stock issued to Teamshares and Employee Owners as part of the Operating Subsidiary Stock Plans (see NOTE 14). The holders of preferred and common stock (including unvested restricted stock shares issued under the Operating Subsidiary Stock Plans) share pro-rata in any dividends. Holders of preferred stock are entitled to vote on an as-converted basis. </w:t>
      </w:r>
    </w:p>
    <w:p>
      <w:pPr>
        <w:pStyle w:val="TextBody"/>
        <w:bidi w:val="0"/>
        <w:spacing w:before="240" w:after="0"/>
        <w:jc w:val="left"/>
        <w:rPr>
          <w:rFonts w:ascii="Times New Roman" w:hAnsi="Times New Roman"/>
          <w:sz w:val="20"/>
        </w:rPr>
      </w:pPr>
      <w:r>
        <w:rPr>
          <w:rFonts w:ascii="Times New Roman" w:hAnsi="Times New Roman"/>
          <w:sz w:val="20"/>
        </w:rPr>
        <w:t xml:space="preserve">The Company’s ownership percentage in the Operating Subsidiaries is reduced by the vesting of restricted stock and repurchases of Teamshares’ preferred stock by the Operating Subsidiaries. During the years ended December 31, 2025 and 2024, respectively, Operating Subsidiaries repurchased $10.1 million and $8.9 million of preferred stock from Teamshares. Repurchases are eliminated in consolidation.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Teamshares’ ownership in the Operating Subsidiaries, excluding unvested restricted stock, averaged 93% and 93%, respectively. As of December 31, 2025 and 2024, Teamshares’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ownership in the Operating Subsidiaries, including unvested restricted stock, averaged 90% and 88%, respectively. The Company consolidates each of the Operating Subsidiaries for financial reporting purposes since it owns the majority of the voting shares and controls the Board of Directors at each Operating Subsidiary. </w:t>
      </w:r>
    </w:p>
    <w:p>
      <w:pPr>
        <w:pStyle w:val="TextBody"/>
        <w:bidi w:val="0"/>
        <w:spacing w:before="360" w:after="0"/>
        <w:jc w:val="left"/>
        <w:rPr>
          <w:rFonts w:ascii="Times New Roman" w:hAnsi="Times New Roman"/>
          <w:sz w:val="20"/>
        </w:rPr>
      </w:pPr>
      <w:r>
        <w:rPr>
          <w:rFonts w:ascii="Times New Roman" w:hAnsi="Times New Roman"/>
          <w:b/>
          <w:sz w:val="20"/>
        </w:rPr>
        <w:t xml:space="preserve">NOTE 13 </w:t>
      </w:r>
      <w:r>
        <w:rPr>
          <w:rFonts w:ascii="Times New Roman" w:hAnsi="Times New Roman"/>
          <w:sz w:val="20"/>
        </w:rPr>
        <w:t xml:space="preserve">– </w:t>
      </w:r>
      <w:r>
        <w:rPr>
          <w:rFonts w:ascii="Times New Roman" w:hAnsi="Times New Roman"/>
          <w:b/>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A provision for income taxes representing an expense of $0.6 million and $0.9 million has been recognized for the years ended December 31, 2025 and 2024, respectively. Income taxes are allocated to the Company’s domestic and international continuing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the provision for income taxes for the years ended December 31, 2025 and 2024 consisted of the following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95"/>
        <w:gridCol w:w="650"/>
        <w:gridCol w:w="332"/>
        <w:gridCol w:w="1087"/>
        <w:gridCol w:w="155"/>
        <w:gridCol w:w="650"/>
        <w:gridCol w:w="380"/>
        <w:gridCol w:w="1042"/>
        <w:gridCol w:w="64"/>
      </w:tblGrid>
      <w:tr>
        <w:trPr/>
        <w:tc>
          <w:tcPr>
            <w:tcW w:w="3395" w:type="dxa"/>
            <w:tcBorders/>
            <w:vAlign w:val="center"/>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15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2024</w:t>
            </w:r>
          </w:p>
        </w:tc>
        <w:tc>
          <w:tcPr>
            <w:tcW w:w="64" w:type="dxa"/>
            <w:tcBorders/>
            <w:vAlign w:val="bottom"/>
          </w:tcPr>
          <w:p>
            <w:pPr>
              <w:pStyle w:val="TableContents"/>
              <w:bidi w:val="0"/>
              <w:spacing w:before="0" w:after="283"/>
              <w:jc w:val="left"/>
              <w:rPr/>
            </w:pPr>
            <w:r>
              <w:rPr/>
              <w:t> </w:t>
            </w:r>
          </w:p>
        </w:tc>
      </w:tr>
      <w:tr>
        <w:trPr/>
        <w:tc>
          <w:tcPr>
            <w:tcW w:w="3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65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04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395"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65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0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104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65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569</w:t>
            </w:r>
          </w:p>
        </w:tc>
        <w:tc>
          <w:tcPr>
            <w:tcW w:w="15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466</w:t>
            </w:r>
          </w:p>
        </w:tc>
        <w:tc>
          <w:tcPr>
            <w:tcW w:w="64"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395"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w:t>
            </w:r>
          </w:p>
        </w:tc>
        <w:tc>
          <w:tcPr>
            <w:tcW w:w="65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087" w:type="dxa"/>
            <w:tcBorders/>
            <w:vAlign w:val="bottom"/>
          </w:tcPr>
          <w:p>
            <w:pPr>
              <w:pStyle w:val="TableContents"/>
              <w:bidi w:val="0"/>
              <w:spacing w:before="0" w:after="283"/>
              <w:jc w:val="right"/>
              <w:rPr/>
            </w:pPr>
            <w:r>
              <w:rPr/>
              <w:t>569</w:t>
            </w:r>
          </w:p>
        </w:tc>
        <w:tc>
          <w:tcPr>
            <w:tcW w:w="15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1042" w:type="dxa"/>
            <w:tcBorders/>
            <w:vAlign w:val="bottom"/>
          </w:tcPr>
          <w:p>
            <w:pPr>
              <w:pStyle w:val="TableContents"/>
              <w:bidi w:val="0"/>
              <w:spacing w:before="0" w:after="283"/>
              <w:jc w:val="right"/>
              <w:rPr/>
            </w:pPr>
            <w:r>
              <w:rPr/>
              <w:t>466</w:t>
            </w:r>
          </w:p>
        </w:tc>
        <w:tc>
          <w:tcPr>
            <w:tcW w:w="64" w:type="dxa"/>
            <w:tcBorders/>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65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104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395"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65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087" w:type="dxa"/>
            <w:tcBorders/>
            <w:vAlign w:val="bottom"/>
          </w:tcPr>
          <w:p>
            <w:pPr>
              <w:pStyle w:val="TableContents"/>
              <w:bidi w:val="0"/>
              <w:spacing w:before="0" w:after="283"/>
              <w:jc w:val="right"/>
              <w:rPr/>
            </w:pPr>
            <w:r>
              <w:rPr/>
              <w:t>241</w:t>
            </w:r>
          </w:p>
        </w:tc>
        <w:tc>
          <w:tcPr>
            <w:tcW w:w="15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1042" w:type="dxa"/>
            <w:tcBorders/>
            <w:vAlign w:val="bottom"/>
          </w:tcPr>
          <w:p>
            <w:pPr>
              <w:pStyle w:val="TableContents"/>
              <w:bidi w:val="0"/>
              <w:spacing w:before="0" w:after="283"/>
              <w:jc w:val="right"/>
              <w:rPr/>
            </w:pPr>
            <w:r>
              <w:rPr/>
              <w:t>303</w:t>
            </w:r>
          </w:p>
        </w:tc>
        <w:tc>
          <w:tcPr>
            <w:tcW w:w="64" w:type="dxa"/>
            <w:tcBorders/>
            <w:vAlign w:val="bottom"/>
          </w:tcPr>
          <w:p>
            <w:pPr>
              <w:pStyle w:val="TableContents"/>
              <w:bidi w:val="0"/>
              <w:spacing w:before="0" w:after="283"/>
              <w:jc w:val="left"/>
              <w:rPr/>
            </w:pPr>
            <w:r>
              <w:rPr/>
              <w:t> </w:t>
            </w:r>
          </w:p>
        </w:tc>
      </w:tr>
      <w:tr>
        <w:trPr/>
        <w:tc>
          <w:tcPr>
            <w:tcW w:w="3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65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(119</w:t>
            </w:r>
          </w:p>
        </w:tc>
        <w:tc>
          <w:tcPr>
            <w:tcW w:w="15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121</w:t>
            </w:r>
          </w:p>
        </w:tc>
        <w:tc>
          <w:tcPr>
            <w:tcW w:w="64" w:type="dxa"/>
            <w:tcBorders/>
            <w:shd w:fill="CCEEFF" w:val="clear"/>
            <w:vAlign w:val="bottom"/>
          </w:tcPr>
          <w:p>
            <w:pPr>
              <w:pStyle w:val="TableContents"/>
              <w:bidi w:val="0"/>
              <w:spacing w:before="0" w:after="283"/>
              <w:jc w:val="left"/>
              <w:rPr/>
            </w:pPr>
            <w:r>
              <w:rPr/>
              <w:t> </w:t>
            </w:r>
          </w:p>
        </w:tc>
      </w:tr>
      <w:tr>
        <w:trPr/>
        <w:tc>
          <w:tcPr>
            <w:tcW w:w="3395"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65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(129</w:t>
            </w:r>
          </w:p>
        </w:tc>
        <w:tc>
          <w:tcPr>
            <w:tcW w:w="15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w:t>
            </w:r>
          </w:p>
        </w:tc>
        <w:tc>
          <w:tcPr>
            <w:tcW w:w="65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42" w:type="dxa"/>
            <w:tcBorders/>
            <w:shd w:fill="CCEEFF" w:val="clear"/>
            <w:vAlign w:val="bottom"/>
          </w:tcPr>
          <w:p>
            <w:pPr>
              <w:pStyle w:val="TableContents"/>
              <w:bidi w:val="0"/>
              <w:spacing w:before="0" w:after="283"/>
              <w:jc w:val="right"/>
              <w:rPr/>
            </w:pPr>
            <w:r>
              <w:rPr/>
              <w:t>424</w:t>
            </w:r>
          </w:p>
        </w:tc>
        <w:tc>
          <w:tcPr>
            <w:tcW w:w="64"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395"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65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087" w:type="dxa"/>
            <w:tcBorders/>
            <w:vAlign w:val="bottom"/>
          </w:tcPr>
          <w:p>
            <w:pPr>
              <w:pStyle w:val="TableContents"/>
              <w:bidi w:val="0"/>
              <w:spacing w:before="0" w:after="283"/>
              <w:jc w:val="right"/>
              <w:rPr/>
            </w:pPr>
            <w:r>
              <w:rPr/>
              <w:t>562</w:t>
            </w:r>
          </w:p>
        </w:tc>
        <w:tc>
          <w:tcPr>
            <w:tcW w:w="15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1042" w:type="dxa"/>
            <w:tcBorders/>
            <w:vAlign w:val="bottom"/>
          </w:tcPr>
          <w:p>
            <w:pPr>
              <w:pStyle w:val="TableContents"/>
              <w:bidi w:val="0"/>
              <w:spacing w:before="0" w:after="283"/>
              <w:jc w:val="right"/>
              <w:rPr/>
            </w:pPr>
            <w:r>
              <w:rPr/>
              <w:t>890</w:t>
            </w:r>
          </w:p>
        </w:tc>
        <w:tc>
          <w:tcPr>
            <w:tcW w:w="64" w:type="dxa"/>
            <w:tcBorders/>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reconciliation of taxes at the federal statutory rate to the Company’s provision for income taxes for the years ended December 31, 2025 and 2024 are as follows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96"/>
        <w:gridCol w:w="423"/>
        <w:gridCol w:w="222"/>
        <w:gridCol w:w="1227"/>
        <w:gridCol w:w="155"/>
        <w:gridCol w:w="423"/>
        <w:gridCol w:w="222"/>
        <w:gridCol w:w="1227"/>
        <w:gridCol w:w="160"/>
      </w:tblGrid>
      <w:tr>
        <w:trPr/>
        <w:tc>
          <w:tcPr>
            <w:tcW w:w="3696"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2024</w:t>
            </w:r>
          </w:p>
        </w:tc>
        <w:tc>
          <w:tcPr>
            <w:tcW w:w="160" w:type="dxa"/>
            <w:tcBorders/>
            <w:vAlign w:val="bottom"/>
          </w:tcPr>
          <w:p>
            <w:pPr>
              <w:pStyle w:val="TableContents"/>
              <w:bidi w:val="0"/>
              <w:spacing w:before="0" w:after="283"/>
              <w:jc w:val="left"/>
              <w:rPr/>
            </w:pPr>
            <w:r>
              <w:rPr/>
              <w:t> </w:t>
            </w:r>
          </w:p>
        </w:tc>
      </w:tr>
      <w:tr>
        <w:trPr/>
        <w:tc>
          <w:tcPr>
            <w:tcW w:w="3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at statutory federal rate</w:t>
            </w:r>
          </w:p>
        </w:tc>
        <w:tc>
          <w:tcPr>
            <w:tcW w:w="42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(13,817</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(17,421</w:t>
            </w:r>
          </w:p>
        </w:tc>
        <w:tc>
          <w:tcPr>
            <w:tcW w:w="160" w:type="dxa"/>
            <w:tcBorders/>
            <w:shd w:fill="CCEEFF" w:val="clear"/>
            <w:vAlign w:val="bottom"/>
          </w:tcPr>
          <w:p>
            <w:pPr>
              <w:pStyle w:val="TableContents"/>
              <w:bidi w:val="0"/>
              <w:spacing w:before="0" w:after="283"/>
              <w:jc w:val="left"/>
              <w:rPr/>
            </w:pPr>
            <w:r>
              <w:rPr/>
              <w:t>) </w:t>
            </w:r>
          </w:p>
        </w:tc>
      </w:tr>
      <w:tr>
        <w:trPr/>
        <w:tc>
          <w:tcPr>
            <w:tcW w:w="3696" w:type="dxa"/>
            <w:tcBorders/>
          </w:tcPr>
          <w:p>
            <w:pPr>
              <w:pStyle w:val="TableContents"/>
              <w:bidi w:val="0"/>
              <w:spacing w:before="0" w:after="0"/>
              <w:jc w:val="left"/>
              <w:rPr>
                <w:rFonts w:ascii="Times New Roman" w:hAnsi="Times New Roman"/>
                <w:sz w:val="20"/>
              </w:rPr>
            </w:pPr>
            <w:r>
              <w:rPr>
                <w:rFonts w:ascii="Times New Roman" w:hAnsi="Times New Roman"/>
                <w:sz w:val="20"/>
              </w:rPr>
              <w:t>State tax, net of federal benefit</w:t>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(2,540</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(1,970</w:t>
            </w:r>
          </w:p>
        </w:tc>
        <w:tc>
          <w:tcPr>
            <w:tcW w:w="160" w:type="dxa"/>
            <w:tcBorders/>
            <w:vAlign w:val="bottom"/>
          </w:tcPr>
          <w:p>
            <w:pPr>
              <w:pStyle w:val="TableContents"/>
              <w:bidi w:val="0"/>
              <w:spacing w:before="0" w:after="283"/>
              <w:jc w:val="left"/>
              <w:rPr/>
            </w:pPr>
            <w:r>
              <w:rPr/>
              <w:t>) </w:t>
            </w:r>
          </w:p>
        </w:tc>
      </w:tr>
      <w:tr>
        <w:trPr/>
        <w:tc>
          <w:tcPr>
            <w:tcW w:w="3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Nondeductible goodwill impairment</w:t>
            </w:r>
          </w:p>
        </w:tc>
        <w:tc>
          <w:tcPr>
            <w:tcW w:w="42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1,442</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696"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rate change</w:t>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102</w:t>
            </w:r>
          </w:p>
        </w:tc>
        <w:tc>
          <w:tcPr>
            <w:tcW w:w="160" w:type="dxa"/>
            <w:tcBorders/>
            <w:vAlign w:val="bottom"/>
          </w:tcPr>
          <w:p>
            <w:pPr>
              <w:pStyle w:val="TableContents"/>
              <w:bidi w:val="0"/>
              <w:spacing w:before="0" w:after="283"/>
              <w:jc w:val="left"/>
              <w:rPr/>
            </w:pPr>
            <w:r>
              <w:rPr/>
              <w:t> </w:t>
            </w:r>
          </w:p>
        </w:tc>
      </w:tr>
      <w:tr>
        <w:trPr/>
        <w:tc>
          <w:tcPr>
            <w:tcW w:w="3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 rate change</w:t>
            </w:r>
          </w:p>
        </w:tc>
        <w:tc>
          <w:tcPr>
            <w:tcW w:w="42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(1,319</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696"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17,359</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16,237</w:t>
            </w:r>
          </w:p>
        </w:tc>
        <w:tc>
          <w:tcPr>
            <w:tcW w:w="160" w:type="dxa"/>
            <w:tcBorders/>
            <w:vAlign w:val="bottom"/>
          </w:tcPr>
          <w:p>
            <w:pPr>
              <w:pStyle w:val="TableContents"/>
              <w:bidi w:val="0"/>
              <w:spacing w:before="0" w:after="283"/>
              <w:jc w:val="left"/>
              <w:rPr/>
            </w:pPr>
            <w:r>
              <w:rPr/>
              <w:t> </w:t>
            </w:r>
          </w:p>
        </w:tc>
      </w:tr>
      <w:tr>
        <w:trPr/>
        <w:tc>
          <w:tcPr>
            <w:tcW w:w="3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2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(562</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3,942</w:t>
            </w:r>
          </w:p>
        </w:tc>
        <w:tc>
          <w:tcPr>
            <w:tcW w:w="160" w:type="dxa"/>
            <w:tcBorders/>
            <w:shd w:fill="CCEEFF" w:val="clear"/>
            <w:vAlign w:val="bottom"/>
          </w:tcPr>
          <w:p>
            <w:pPr>
              <w:pStyle w:val="TableContents"/>
              <w:bidi w:val="0"/>
              <w:spacing w:before="0" w:after="283"/>
              <w:jc w:val="left"/>
              <w:rPr/>
            </w:pPr>
            <w:r>
              <w:rPr/>
              <w:t> </w:t>
            </w:r>
          </w:p>
        </w:tc>
      </w:tr>
      <w:tr>
        <w:trPr/>
        <w:tc>
          <w:tcPr>
            <w:tcW w:w="3696"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96"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562</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890</w:t>
            </w:r>
          </w:p>
        </w:tc>
        <w:tc>
          <w:tcPr>
            <w:tcW w:w="160" w:type="dxa"/>
            <w:tcBorders/>
            <w:vAlign w:val="bottom"/>
          </w:tcPr>
          <w:p>
            <w:pPr>
              <w:pStyle w:val="TableContents"/>
              <w:bidi w:val="0"/>
              <w:spacing w:before="0" w:after="283"/>
              <w:jc w:val="left"/>
              <w:rPr/>
            </w:pPr>
            <w:r>
              <w:rPr/>
              <w:t> </w:t>
            </w:r>
          </w:p>
        </w:tc>
      </w:tr>
      <w:tr>
        <w:trPr/>
        <w:tc>
          <w:tcPr>
            <w:tcW w:w="3696"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Significant components of the Company’s deferred tax assets and liabilities approximated the following as of December 31, 2025 and 2024 </w:t>
      </w:r>
      <w:r>
        <w:rPr>
          <w:rFonts w:ascii="Times New Roman" w:hAnsi="Times New Roman"/>
          <w:i/>
          <w:sz w:val="20"/>
        </w:rPr>
        <w:t>(dollars in thousands)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25"/>
        <w:gridCol w:w="463"/>
        <w:gridCol w:w="222"/>
        <w:gridCol w:w="1223"/>
        <w:gridCol w:w="155"/>
        <w:gridCol w:w="463"/>
        <w:gridCol w:w="222"/>
        <w:gridCol w:w="1223"/>
        <w:gridCol w:w="159"/>
      </w:tblGrid>
      <w:tr>
        <w:trPr/>
        <w:tc>
          <w:tcPr>
            <w:tcW w:w="3625"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2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2024</w:t>
            </w:r>
          </w:p>
        </w:tc>
        <w:tc>
          <w:tcPr>
            <w:tcW w:w="159"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Deferred Tax Assets:</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carry-forward</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31,942</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24,384</w:t>
            </w:r>
          </w:p>
        </w:tc>
        <w:tc>
          <w:tcPr>
            <w:tcW w:w="159"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UNICAP</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3,245</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1,937</w:t>
            </w:r>
          </w:p>
        </w:tc>
        <w:tc>
          <w:tcPr>
            <w:tcW w:w="159" w:type="dxa"/>
            <w:tcBorders/>
            <w:shd w:fill="CCEEFF" w:val="clear"/>
            <w:vAlign w:val="bottom"/>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1,970</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877</w:t>
            </w:r>
          </w:p>
        </w:tc>
        <w:tc>
          <w:tcPr>
            <w:tcW w:w="159"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987</w:t>
            </w:r>
          </w:p>
        </w:tc>
        <w:tc>
          <w:tcPr>
            <w:tcW w:w="159" w:type="dxa"/>
            <w:tcBorders/>
            <w:shd w:fill="CCEEFF" w:val="clear"/>
            <w:vAlign w:val="bottom"/>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1,337</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1,010</w:t>
            </w:r>
          </w:p>
        </w:tc>
        <w:tc>
          <w:tcPr>
            <w:tcW w:w="159"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22,802</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12,792</w:t>
            </w:r>
          </w:p>
        </w:tc>
        <w:tc>
          <w:tcPr>
            <w:tcW w:w="159" w:type="dxa"/>
            <w:tcBorders/>
            <w:shd w:fill="CCEEFF" w:val="clear"/>
            <w:vAlign w:val="bottom"/>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§163(j) limitation</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20,636</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11,638</w:t>
            </w:r>
          </w:p>
        </w:tc>
        <w:tc>
          <w:tcPr>
            <w:tcW w:w="159"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DTA</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667</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513</w:t>
            </w:r>
          </w:p>
        </w:tc>
        <w:tc>
          <w:tcPr>
            <w:tcW w:w="159" w:type="dxa"/>
            <w:tcBorders/>
            <w:shd w:fill="CCEEFF" w:val="clear"/>
            <w:vAlign w:val="bottom"/>
          </w:tcPr>
          <w:p>
            <w:pPr>
              <w:pStyle w:val="TableContents"/>
              <w:bidi w:val="0"/>
              <w:spacing w:before="0" w:after="283"/>
              <w:jc w:val="left"/>
              <w:rPr/>
            </w:pPr>
            <w:r>
              <w:rPr/>
              <w:t> </w:t>
            </w:r>
          </w:p>
        </w:tc>
      </w:tr>
      <w:tr>
        <w:trPr/>
        <w:tc>
          <w:tcPr>
            <w:tcW w:w="3625"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82,598</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54,137</w:t>
            </w:r>
          </w:p>
        </w:tc>
        <w:tc>
          <w:tcPr>
            <w:tcW w:w="159" w:type="dxa"/>
            <w:tcBorders/>
            <w:vAlign w:val="bottom"/>
          </w:tcPr>
          <w:p>
            <w:pPr>
              <w:pStyle w:val="TableContents"/>
              <w:bidi w:val="0"/>
              <w:spacing w:before="0" w:after="283"/>
              <w:jc w:val="left"/>
              <w:rPr/>
            </w:pPr>
            <w:r>
              <w:rPr/>
              <w:t> </w:t>
            </w:r>
          </w:p>
        </w:tc>
      </w:tr>
      <w:tr>
        <w:trPr/>
        <w:tc>
          <w:tcPr>
            <w:tcW w:w="3625"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Deferred Tax Liabilities:</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(1,120</w:t>
            </w:r>
          </w:p>
        </w:tc>
        <w:tc>
          <w:tcPr>
            <w:tcW w:w="159"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and Intangible Assets</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(5,758</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(2,109</w:t>
            </w:r>
          </w:p>
        </w:tc>
        <w:tc>
          <w:tcPr>
            <w:tcW w:w="159" w:type="dxa"/>
            <w:tcBorders/>
            <w:shd w:fill="CCEEFF" w:val="clear"/>
            <w:vAlign w:val="bottom"/>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Right of use asset</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(21,967</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(12,075</w:t>
            </w:r>
          </w:p>
        </w:tc>
        <w:tc>
          <w:tcPr>
            <w:tcW w:w="159"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DTL</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625"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(27,761</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(15,304</w:t>
            </w:r>
          </w:p>
        </w:tc>
        <w:tc>
          <w:tcPr>
            <w:tcW w:w="159" w:type="dxa"/>
            <w:tcBorders/>
            <w:vAlign w:val="bottom"/>
          </w:tcPr>
          <w:p>
            <w:pPr>
              <w:pStyle w:val="TableContents"/>
              <w:bidi w:val="0"/>
              <w:spacing w:before="0" w:after="283"/>
              <w:jc w:val="left"/>
              <w:rPr/>
            </w:pPr>
            <w:r>
              <w:rPr/>
              <w:t>) </w:t>
            </w:r>
          </w:p>
        </w:tc>
      </w:tr>
      <w:tr>
        <w:trPr/>
        <w:tc>
          <w:tcPr>
            <w:tcW w:w="3625"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 before valuation allowance</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54,838</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38,833</w:t>
            </w:r>
          </w:p>
        </w:tc>
        <w:tc>
          <w:tcPr>
            <w:tcW w:w="159" w:type="dxa"/>
            <w:tcBorders/>
            <w:shd w:fill="CCEEFF" w:val="clear"/>
            <w:vAlign w:val="bottom"/>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(56,696</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(39,514</w:t>
            </w:r>
          </w:p>
        </w:tc>
        <w:tc>
          <w:tcPr>
            <w:tcW w:w="159" w:type="dxa"/>
            <w:tcBorders/>
            <w:vAlign w:val="bottom"/>
          </w:tcPr>
          <w:p>
            <w:pPr>
              <w:pStyle w:val="TableContents"/>
              <w:bidi w:val="0"/>
              <w:spacing w:before="0" w:after="283"/>
              <w:jc w:val="left"/>
              <w:rPr/>
            </w:pPr>
            <w:r>
              <w:rPr/>
              <w:t>) </w:t>
            </w:r>
          </w:p>
        </w:tc>
      </w:tr>
      <w:tr>
        <w:trPr/>
        <w:tc>
          <w:tcPr>
            <w:tcW w:w="3625"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 net of valuation allowance</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(1,858</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(681</w:t>
            </w:r>
          </w:p>
        </w:tc>
        <w:tc>
          <w:tcPr>
            <w:tcW w:w="159" w:type="dxa"/>
            <w:tcBorders/>
            <w:shd w:fill="CCEEFF" w:val="clear"/>
            <w:vAlign w:val="bottom"/>
          </w:tcPr>
          <w:p>
            <w:pPr>
              <w:pStyle w:val="TableContents"/>
              <w:bidi w:val="0"/>
              <w:spacing w:before="0" w:after="283"/>
              <w:jc w:val="left"/>
              <w:rPr/>
            </w:pPr>
            <w:r>
              <w:rPr/>
              <w:t>) </w:t>
            </w:r>
          </w:p>
        </w:tc>
      </w:tr>
      <w:tr>
        <w:trPr/>
        <w:tc>
          <w:tcPr>
            <w:tcW w:w="3625"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Deferred tax liabilities, net of valuation allowances, are presented in Other Long-Term Liabilities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respectively, the Company recorded a valuation allowance of $56.7 million and $39.5 million for the portion of the deferred tax asset that the Company does not expect to be realized. The valuation allowance on net deferred taxes increased by a net $17.2 million and $16.2 million during the years ended December 31, 2025 and 2024, respectively. The changes in valuation allowance are primarily due to additional U.S. deferred tax assets and liabilities incurred in the year, as well as the result of an acquisition adjustment that reduced the Company’s valuation allowance by $0.2 million. The Company did not have any material releases of valuation allowance for the years ended December 31, 2025 and 2024. The Company is currently subject to the annual limitation under Sections 382 of the Code. The Company will not be precluded from realizing the NOL carryforward and tax credits but may be limited in the amount we could utilize in any given tax year in the event that the federal and state taxable income will exceed the limitation imposed by Section 382. The amount of the annual limitation is determined based on our value immediately prior to the ownership change. Subsequent ownership changes may further affect the limitation in future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continues to monitor the realizability of deferred tax assets taking into account multiple factors. In completing this assessment, the Company considered both objective and subjective factors. These factors included, but were not limited to, a history of losses in prior years, future reversals of existing temporary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differences and tax planning strategies. After evaluating all available evidence, the Company intends to continue maintaining a full valuation allowance on our domestic net deferred tax assets until there is sufficient evidence to support the reversal of all or some portion of these allowances. International deferred tax assets are not material. Release of all, or a portion of the valuation allowance would result in the recognition of certain deferred tax assets and a decrease to income tax expense for the period in which the release is recorded.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has $130.2 million of federal net operating losses available for U.S. income tax purposes, which have an indefinite carryforward period. As of December 31, 2025, the Company has $0.3 million of federal tax credit carryforwards that expire beginning in 2042, and disallowed interest expense carryforwards of $80.9 million that can be carried forward indefinitely.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also had $83.0 million of net operating losses for U.S. state income taxes which will expire in periods beginning in 2031. </w:t>
      </w:r>
    </w:p>
    <w:p>
      <w:pPr>
        <w:pStyle w:val="TextBody"/>
        <w:bidi w:val="0"/>
        <w:spacing w:before="240" w:after="0"/>
        <w:jc w:val="left"/>
        <w:rPr>
          <w:rFonts w:ascii="Times New Roman" w:hAnsi="Times New Roman"/>
          <w:sz w:val="20"/>
        </w:rPr>
      </w:pPr>
      <w:r>
        <w:rPr>
          <w:rFonts w:ascii="Times New Roman" w:hAnsi="Times New Roman"/>
          <w:sz w:val="20"/>
        </w:rPr>
        <w:t xml:space="preserve">On July 4, 2025, the United States enacted the One Big Beautiful Bill Act (“OBBBA”). The OBBBA includes various changes to the tax law, including the restoration of 100% bonus depreciation, reinstates immediate expensing of research and development expenditures, and modifications to the interest expense limitation calculation. The Company has determined the OBBBA does not have a material impact on its deferred tax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no unrecognized tax benefits. As a result of our net operating loss carryforwards originating in 2017, the years 2017 and forward remain open to adjustment for federal and state income tax purposes. The years 2023 and forward remain open to adjustment for foreign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NOTE 14 – Teamshares Inc. 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sponsors an equity incentive plan in which certain employees participate. The 2020 Equity Incentive Plan is administered by the Board of Directors (the “Plan Administrator”). The 2020 Equity Incentive Plan permits the granting of incentive stock options, nonstatutory stock options, stock appreciation rights, restricted stock, and restricted stock units. The number of shares authorized to be issued under the 2020 Equity Incentive Plan was 1,643,244. Stock-based compensation expense was $2.3 million and $2.5 million for the years ended December 31, 2025 and 2024, respectively, and recognized in Selling, General, and Administrative Expenses in the Consolidated Statements of Operations. Forfeitures are recognized as they occur. </w:t>
      </w:r>
    </w:p>
    <w:p>
      <w:pPr>
        <w:pStyle w:val="TextBody"/>
        <w:bidi w:val="0"/>
        <w:spacing w:before="360" w:after="0"/>
        <w:jc w:val="left"/>
        <w:rPr>
          <w:rFonts w:ascii="Times New Roman" w:hAnsi="Times New Roman"/>
          <w:b/>
          <w:sz w:val="20"/>
        </w:rPr>
      </w:pPr>
      <w:r>
        <w:rPr>
          <w:rFonts w:ascii="Times New Roman" w:hAnsi="Times New Roman"/>
          <w:b/>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Stock options may be granted by the Plan Administrator. Each award of an option will be evidenced by a grant agreement that will specify the exercise price, the term of the option, the number of shares subject to the option, the exercise restrictions, if any, applicable to the option, and such other terms and conditions as the Plan Administrator will determine. The 2020 Equity Incentive Plan permits the granting of both incentive stock options and nonstatutory stock options. The term of the stock options will be no more than 10 years from the date of grant, and the exercise price will be no less than the fair market value of the underlying common stock at the date of grant. Options granted typically vest over a period of 4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utilizes the Black-Scholes option-pricing model for estimating the fair value of the stock options granted. The assumptions used in valuing the stock options granted during the years ended December 31, 2025 and 2024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45"/>
        <w:gridCol w:w="295"/>
        <w:gridCol w:w="62"/>
        <w:gridCol w:w="1374"/>
        <w:gridCol w:w="277"/>
        <w:gridCol w:w="203"/>
        <w:gridCol w:w="62"/>
        <w:gridCol w:w="1374"/>
        <w:gridCol w:w="280"/>
      </w:tblGrid>
      <w:tr>
        <w:trPr/>
        <w:tc>
          <w:tcPr>
            <w:tcW w:w="4645"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64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27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2024</w:t>
            </w:r>
          </w:p>
        </w:tc>
        <w:tc>
          <w:tcPr>
            <w:tcW w:w="280" w:type="dxa"/>
            <w:tcBorders/>
            <w:vAlign w:val="bottom"/>
          </w:tcPr>
          <w:p>
            <w:pPr>
              <w:pStyle w:val="TableContents"/>
              <w:bidi w:val="0"/>
              <w:spacing w:before="0" w:after="283"/>
              <w:jc w:val="left"/>
              <w:rPr/>
            </w:pPr>
            <w:r>
              <w:rPr/>
              <w:t> </w:t>
            </w:r>
          </w:p>
        </w:tc>
      </w:tr>
      <w:tr>
        <w:trPr/>
        <w:tc>
          <w:tcPr>
            <w:tcW w:w="4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29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34.24 - 40.17</w:t>
            </w:r>
          </w:p>
        </w:tc>
        <w:tc>
          <w:tcPr>
            <w:tcW w:w="27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39.09 - 40.75</w:t>
            </w:r>
          </w:p>
        </w:tc>
        <w:tc>
          <w:tcPr>
            <w:tcW w:w="280" w:type="dxa"/>
            <w:tcBorders/>
            <w:shd w:fill="CCEEFF" w:val="clear"/>
            <w:vAlign w:val="bottom"/>
          </w:tcPr>
          <w:p>
            <w:pPr>
              <w:pStyle w:val="TableContents"/>
              <w:bidi w:val="0"/>
              <w:spacing w:before="0" w:after="283"/>
              <w:jc w:val="left"/>
              <w:rPr/>
            </w:pPr>
            <w:r>
              <w:rPr/>
              <w:t>% </w:t>
            </w:r>
          </w:p>
        </w:tc>
      </w:tr>
      <w:tr>
        <w:trPr/>
        <w:tc>
          <w:tcPr>
            <w:tcW w:w="4645"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expected volatility</w:t>
            </w:r>
          </w:p>
        </w:tc>
        <w:tc>
          <w:tcPr>
            <w:tcW w:w="29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39.39</w:t>
            </w:r>
          </w:p>
        </w:tc>
        <w:tc>
          <w:tcPr>
            <w:tcW w:w="27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39.76</w:t>
            </w:r>
          </w:p>
        </w:tc>
        <w:tc>
          <w:tcPr>
            <w:tcW w:w="280" w:type="dxa"/>
            <w:tcBorders/>
            <w:vAlign w:val="bottom"/>
          </w:tcPr>
          <w:p>
            <w:pPr>
              <w:pStyle w:val="TableContents"/>
              <w:bidi w:val="0"/>
              <w:spacing w:before="0" w:after="283"/>
              <w:jc w:val="left"/>
              <w:rPr/>
            </w:pPr>
            <w:r>
              <w:rPr/>
              <w:t>% </w:t>
            </w:r>
          </w:p>
        </w:tc>
      </w:tr>
      <w:tr>
        <w:trPr/>
        <w:tc>
          <w:tcPr>
            <w:tcW w:w="4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29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2.5 - 6.1</w:t>
            </w:r>
          </w:p>
        </w:tc>
        <w:tc>
          <w:tcPr>
            <w:tcW w:w="27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5.3 - 6.1</w:t>
            </w:r>
          </w:p>
        </w:tc>
        <w:tc>
          <w:tcPr>
            <w:tcW w:w="280" w:type="dxa"/>
            <w:tcBorders/>
            <w:shd w:fill="CCEEFF" w:val="clear"/>
            <w:vAlign w:val="bottom"/>
          </w:tcPr>
          <w:p>
            <w:pPr>
              <w:pStyle w:val="TableContents"/>
              <w:bidi w:val="0"/>
              <w:spacing w:before="0" w:after="283"/>
              <w:jc w:val="left"/>
              <w:rPr/>
            </w:pPr>
            <w:r>
              <w:rPr/>
              <w:t> </w:t>
            </w:r>
          </w:p>
        </w:tc>
      </w:tr>
      <w:tr>
        <w:trPr/>
        <w:tc>
          <w:tcPr>
            <w:tcW w:w="4645"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29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3.7 - 4.2</w:t>
            </w:r>
          </w:p>
        </w:tc>
        <w:tc>
          <w:tcPr>
            <w:tcW w:w="27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3.8 - 4.4</w:t>
            </w:r>
          </w:p>
        </w:tc>
        <w:tc>
          <w:tcPr>
            <w:tcW w:w="280" w:type="dxa"/>
            <w:tcBorders/>
            <w:vAlign w:val="bottom"/>
          </w:tcPr>
          <w:p>
            <w:pPr>
              <w:pStyle w:val="TableContents"/>
              <w:bidi w:val="0"/>
              <w:spacing w:before="0" w:after="283"/>
              <w:jc w:val="left"/>
              <w:rPr/>
            </w:pPr>
            <w:r>
              <w:rPr/>
              <w:t>% </w:t>
            </w:r>
          </w:p>
        </w:tc>
      </w:tr>
      <w:tr>
        <w:trPr/>
        <w:tc>
          <w:tcPr>
            <w:tcW w:w="4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29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0.0</w:t>
            </w:r>
          </w:p>
        </w:tc>
        <w:tc>
          <w:tcPr>
            <w:tcW w:w="27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0.0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summary of option activity for the years ended December 31, 2025 and 2024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77"/>
        <w:gridCol w:w="373"/>
        <w:gridCol w:w="60"/>
        <w:gridCol w:w="1049"/>
        <w:gridCol w:w="155"/>
        <w:gridCol w:w="373"/>
        <w:gridCol w:w="293"/>
        <w:gridCol w:w="1252"/>
        <w:gridCol w:w="60"/>
        <w:gridCol w:w="373"/>
        <w:gridCol w:w="150"/>
        <w:gridCol w:w="1192"/>
        <w:gridCol w:w="65"/>
      </w:tblGrid>
      <w:tr>
        <w:trPr/>
        <w:tc>
          <w:tcPr>
            <w:tcW w:w="3177"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177"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Options</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 Price</w:t>
              <w:br/>
              <w:t>Per Share</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Life (Years)</w:t>
            </w:r>
          </w:p>
        </w:tc>
        <w:tc>
          <w:tcPr>
            <w:tcW w:w="65" w:type="dxa"/>
            <w:tcBorders/>
            <w:vAlign w:val="bottom"/>
          </w:tcPr>
          <w:p>
            <w:pPr>
              <w:pStyle w:val="TableContents"/>
              <w:bidi w:val="0"/>
              <w:spacing w:before="0" w:after="283"/>
              <w:jc w:val="left"/>
              <w:rPr/>
            </w:pPr>
            <w:r>
              <w:rPr/>
              <w:t> </w:t>
            </w:r>
          </w:p>
        </w:tc>
      </w:tr>
      <w:tr>
        <w:trPr/>
        <w:tc>
          <w:tcPr>
            <w:tcW w:w="3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January 1, 2024</w:t>
            </w:r>
          </w:p>
        </w:tc>
        <w:tc>
          <w:tcPr>
            <w:tcW w:w="3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1,151,284</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13.91</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8.02</w:t>
            </w:r>
          </w:p>
        </w:tc>
        <w:tc>
          <w:tcPr>
            <w:tcW w:w="65" w:type="dxa"/>
            <w:tcBorders/>
            <w:shd w:fill="CCEEFF" w:val="clear"/>
            <w:vAlign w:val="bottom"/>
          </w:tcPr>
          <w:p>
            <w:pPr>
              <w:pStyle w:val="TableContents"/>
              <w:bidi w:val="0"/>
              <w:spacing w:before="0" w:after="283"/>
              <w:jc w:val="left"/>
              <w:rPr/>
            </w:pPr>
            <w:r>
              <w:rPr/>
              <w:t> </w:t>
            </w:r>
          </w:p>
        </w:tc>
      </w:tr>
      <w:tr>
        <w:trPr/>
        <w:tc>
          <w:tcPr>
            <w:tcW w:w="3177"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226,375</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35.37</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(10,631</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3.80</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177" w:type="dxa"/>
            <w:tcBorders/>
          </w:tcPr>
          <w:p>
            <w:pPr>
              <w:pStyle w:val="TableContents"/>
              <w:bidi w:val="0"/>
              <w:spacing w:before="0" w:after="0"/>
              <w:jc w:val="left"/>
              <w:rPr>
                <w:rFonts w:ascii="Times New Roman" w:hAnsi="Times New Roman"/>
                <w:sz w:val="20"/>
              </w:rPr>
            </w:pPr>
            <w:r>
              <w:rPr>
                <w:rFonts w:ascii="Times New Roman" w:hAnsi="Times New Roman"/>
                <w:sz w:val="20"/>
              </w:rPr>
              <w:t>Forfeited or expired</w:t>
            </w:r>
          </w:p>
        </w:tc>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(161,902</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17.41</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77"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sz w:val="4"/>
                <w:szCs w:val="4"/>
              </w:rPr>
            </w:pPr>
            <w:r>
              <w:rPr>
                <w:sz w:val="4"/>
                <w:szCs w:val="4"/>
              </w:rPr>
            </w:r>
          </w:p>
        </w:tc>
        <w:tc>
          <w:tcPr>
            <w:tcW w:w="12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2024</w:t>
            </w:r>
          </w:p>
        </w:tc>
        <w:tc>
          <w:tcPr>
            <w:tcW w:w="3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1,205,126</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17.56</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6.92</w:t>
            </w:r>
          </w:p>
        </w:tc>
        <w:tc>
          <w:tcPr>
            <w:tcW w:w="65" w:type="dxa"/>
            <w:tcBorders/>
            <w:shd w:fill="CCEEFF" w:val="clear"/>
            <w:vAlign w:val="bottom"/>
          </w:tcPr>
          <w:p>
            <w:pPr>
              <w:pStyle w:val="TableContents"/>
              <w:bidi w:val="0"/>
              <w:spacing w:before="0" w:after="283"/>
              <w:jc w:val="left"/>
              <w:rPr/>
            </w:pPr>
            <w:r>
              <w:rPr/>
              <w:t> </w:t>
            </w:r>
          </w:p>
        </w:tc>
      </w:tr>
      <w:tr>
        <w:trPr/>
        <w:tc>
          <w:tcPr>
            <w:tcW w:w="3177"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226,990</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30.40</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(12,249</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3.73</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177" w:type="dxa"/>
            <w:tcBorders/>
          </w:tcPr>
          <w:p>
            <w:pPr>
              <w:pStyle w:val="TableContents"/>
              <w:bidi w:val="0"/>
              <w:spacing w:before="0" w:after="0"/>
              <w:jc w:val="left"/>
              <w:rPr>
                <w:rFonts w:ascii="Times New Roman" w:hAnsi="Times New Roman"/>
                <w:sz w:val="20"/>
              </w:rPr>
            </w:pPr>
            <w:r>
              <w:rPr>
                <w:rFonts w:ascii="Times New Roman" w:hAnsi="Times New Roman"/>
                <w:sz w:val="20"/>
              </w:rPr>
              <w:t>Forfeited or expired</w:t>
            </w:r>
          </w:p>
        </w:tc>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(60,017</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30.19</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77"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sz w:val="4"/>
                <w:szCs w:val="4"/>
              </w:rPr>
            </w:pPr>
            <w:r>
              <w:rPr>
                <w:sz w:val="4"/>
                <w:szCs w:val="4"/>
              </w:rPr>
            </w:r>
          </w:p>
        </w:tc>
        <w:tc>
          <w:tcPr>
            <w:tcW w:w="12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2025</w:t>
            </w:r>
          </w:p>
        </w:tc>
        <w:tc>
          <w:tcPr>
            <w:tcW w:w="3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1,359,850</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19.27</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6.14</w:t>
            </w:r>
          </w:p>
        </w:tc>
        <w:tc>
          <w:tcPr>
            <w:tcW w:w="65" w:type="dxa"/>
            <w:tcBorders/>
            <w:shd w:fill="CCEEFF" w:val="clear"/>
            <w:vAlign w:val="bottom"/>
          </w:tcPr>
          <w:p>
            <w:pPr>
              <w:pStyle w:val="TableContents"/>
              <w:bidi w:val="0"/>
              <w:spacing w:before="0" w:after="283"/>
              <w:jc w:val="left"/>
              <w:rPr/>
            </w:pPr>
            <w:r>
              <w:rPr/>
              <w:t> </w:t>
            </w:r>
          </w:p>
        </w:tc>
      </w:tr>
      <w:tr>
        <w:trPr/>
        <w:tc>
          <w:tcPr>
            <w:tcW w:w="3177"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sz w:val="4"/>
                <w:szCs w:val="4"/>
              </w:rPr>
            </w:pPr>
            <w:r>
              <w:rPr>
                <w:sz w:val="4"/>
                <w:szCs w:val="4"/>
              </w:rPr>
            </w:r>
          </w:p>
        </w:tc>
        <w:tc>
          <w:tcPr>
            <w:tcW w:w="12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177"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at December 31, 2024</w:t>
            </w:r>
          </w:p>
        </w:tc>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805,097</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w:t>
            </w:r>
          </w:p>
        </w:tc>
        <w:tc>
          <w:tcPr>
            <w:tcW w:w="1252" w:type="dxa"/>
            <w:tcBorders/>
            <w:vAlign w:val="bottom"/>
          </w:tcPr>
          <w:p>
            <w:pPr>
              <w:pStyle w:val="TableContents"/>
              <w:bidi w:val="0"/>
              <w:spacing w:before="0" w:after="283"/>
              <w:jc w:val="right"/>
              <w:rPr/>
            </w:pPr>
            <w:r>
              <w:rPr/>
              <w:t>11.68</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5.97</w:t>
            </w:r>
          </w:p>
        </w:tc>
        <w:tc>
          <w:tcPr>
            <w:tcW w:w="65" w:type="dxa"/>
            <w:tcBorders/>
            <w:vAlign w:val="bottom"/>
          </w:tcPr>
          <w:p>
            <w:pPr>
              <w:pStyle w:val="TableContents"/>
              <w:bidi w:val="0"/>
              <w:spacing w:before="0" w:after="283"/>
              <w:jc w:val="left"/>
              <w:rPr/>
            </w:pPr>
            <w:r>
              <w:rPr/>
              <w:t> </w:t>
            </w:r>
          </w:p>
        </w:tc>
      </w:tr>
      <w:tr>
        <w:trPr/>
        <w:tc>
          <w:tcPr>
            <w:tcW w:w="3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at December 31, 2025</w:t>
            </w:r>
          </w:p>
        </w:tc>
        <w:tc>
          <w:tcPr>
            <w:tcW w:w="3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986,278</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14.51</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5.05</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2025 and 2024, respectively, the aggregate intrinsic value of options exercised was $0.4 million and $0.3 million. </w:t>
      </w:r>
    </w:p>
    <w:p>
      <w:pPr>
        <w:pStyle w:val="TextBody"/>
        <w:bidi w:val="0"/>
        <w:spacing w:before="240" w:after="0"/>
        <w:jc w:val="left"/>
        <w:rPr>
          <w:rFonts w:ascii="Times New Roman" w:hAnsi="Times New Roman"/>
          <w:sz w:val="20"/>
        </w:rPr>
      </w:pPr>
      <w:r>
        <w:rPr>
          <w:rFonts w:ascii="Times New Roman" w:hAnsi="Times New Roman"/>
          <w:sz w:val="20"/>
        </w:rPr>
        <w:t xml:space="preserve">A summary of the status of the Company’s nonvested options for the years ended December 31, 2025 and 2024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84"/>
        <w:gridCol w:w="383"/>
        <w:gridCol w:w="60"/>
        <w:gridCol w:w="1018"/>
        <w:gridCol w:w="176"/>
        <w:gridCol w:w="383"/>
        <w:gridCol w:w="237"/>
        <w:gridCol w:w="1067"/>
        <w:gridCol w:w="64"/>
      </w:tblGrid>
      <w:tr>
        <w:trPr/>
        <w:tc>
          <w:tcPr>
            <w:tcW w:w="5184"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84"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Options</w:t>
            </w:r>
          </w:p>
        </w:tc>
        <w:tc>
          <w:tcPr>
            <w:tcW w:w="176"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Grant Date</w:t>
              <w:br/>
              <w:t>Fair Value</w:t>
            </w:r>
          </w:p>
        </w:tc>
        <w:tc>
          <w:tcPr>
            <w:tcW w:w="64" w:type="dxa"/>
            <w:tcBorders/>
            <w:vAlign w:val="bottom"/>
          </w:tcPr>
          <w:p>
            <w:pPr>
              <w:pStyle w:val="TableContents"/>
              <w:bidi w:val="0"/>
              <w:spacing w:before="0" w:after="283"/>
              <w:jc w:val="left"/>
              <w:rPr/>
            </w:pPr>
            <w:r>
              <w:rPr/>
              <w:t> </w:t>
            </w:r>
          </w:p>
        </w:tc>
      </w:tr>
      <w:tr>
        <w:trPr/>
        <w:tc>
          <w:tcPr>
            <w:tcW w:w="51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Nonvested at January 1, 2024</w:t>
            </w:r>
          </w:p>
        </w:tc>
        <w:tc>
          <w:tcPr>
            <w:tcW w:w="3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626,052</w:t>
            </w:r>
          </w:p>
        </w:tc>
        <w:tc>
          <w:tcPr>
            <w:tcW w:w="176"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5.48</w:t>
            </w:r>
          </w:p>
        </w:tc>
        <w:tc>
          <w:tcPr>
            <w:tcW w:w="64" w:type="dxa"/>
            <w:tcBorders/>
            <w:shd w:fill="CCEEFF" w:val="clear"/>
            <w:vAlign w:val="bottom"/>
          </w:tcPr>
          <w:p>
            <w:pPr>
              <w:pStyle w:val="TableContents"/>
              <w:bidi w:val="0"/>
              <w:spacing w:before="0" w:after="283"/>
              <w:jc w:val="left"/>
              <w:rPr/>
            </w:pPr>
            <w:r>
              <w:rPr/>
              <w:t> </w:t>
            </w:r>
          </w:p>
        </w:tc>
      </w:tr>
      <w:tr>
        <w:trPr/>
        <w:tc>
          <w:tcPr>
            <w:tcW w:w="5184"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226,375</w:t>
            </w:r>
          </w:p>
        </w:tc>
        <w:tc>
          <w:tcPr>
            <w:tcW w:w="176"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15.84</w:t>
            </w:r>
          </w:p>
        </w:tc>
        <w:tc>
          <w:tcPr>
            <w:tcW w:w="64" w:type="dxa"/>
            <w:tcBorders/>
            <w:vAlign w:val="bottom"/>
          </w:tcPr>
          <w:p>
            <w:pPr>
              <w:pStyle w:val="TableContents"/>
              <w:bidi w:val="0"/>
              <w:spacing w:before="0" w:after="283"/>
              <w:jc w:val="left"/>
              <w:rPr/>
            </w:pPr>
            <w:r>
              <w:rPr/>
              <w:t> </w:t>
            </w:r>
          </w:p>
        </w:tc>
      </w:tr>
      <w:tr>
        <w:trPr/>
        <w:tc>
          <w:tcPr>
            <w:tcW w:w="51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3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(290,496</w:t>
            </w:r>
          </w:p>
        </w:tc>
        <w:tc>
          <w:tcPr>
            <w:tcW w:w="176"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7.72</w:t>
            </w:r>
          </w:p>
        </w:tc>
        <w:tc>
          <w:tcPr>
            <w:tcW w:w="64" w:type="dxa"/>
            <w:tcBorders/>
            <w:shd w:fill="CCEEFF" w:val="clear"/>
            <w:vAlign w:val="bottom"/>
          </w:tcPr>
          <w:p>
            <w:pPr>
              <w:pStyle w:val="TableContents"/>
              <w:bidi w:val="0"/>
              <w:spacing w:before="0" w:after="283"/>
              <w:jc w:val="left"/>
              <w:rPr/>
            </w:pPr>
            <w:r>
              <w:rPr/>
              <w:t> </w:t>
            </w:r>
          </w:p>
        </w:tc>
      </w:tr>
      <w:tr>
        <w:trPr/>
        <w:tc>
          <w:tcPr>
            <w:tcW w:w="5184"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(161,902</w:t>
            </w:r>
          </w:p>
        </w:tc>
        <w:tc>
          <w:tcPr>
            <w:tcW w:w="176"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8.10</w:t>
            </w:r>
          </w:p>
        </w:tc>
        <w:tc>
          <w:tcPr>
            <w:tcW w:w="64" w:type="dxa"/>
            <w:tcBorders/>
            <w:vAlign w:val="bottom"/>
          </w:tcPr>
          <w:p>
            <w:pPr>
              <w:pStyle w:val="TableContents"/>
              <w:bidi w:val="0"/>
              <w:spacing w:before="0" w:after="283"/>
              <w:jc w:val="left"/>
              <w:rPr/>
            </w:pPr>
            <w:r>
              <w:rPr/>
              <w:t> </w:t>
            </w:r>
          </w:p>
        </w:tc>
      </w:tr>
      <w:tr>
        <w:trPr/>
        <w:tc>
          <w:tcPr>
            <w:tcW w:w="5184"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Nonvested at December 31, 2024</w:t>
            </w:r>
          </w:p>
        </w:tc>
        <w:tc>
          <w:tcPr>
            <w:tcW w:w="3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400,029</w:t>
            </w:r>
          </w:p>
        </w:tc>
        <w:tc>
          <w:tcPr>
            <w:tcW w:w="176"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13.48</w:t>
            </w:r>
          </w:p>
        </w:tc>
        <w:tc>
          <w:tcPr>
            <w:tcW w:w="64" w:type="dxa"/>
            <w:tcBorders/>
            <w:shd w:fill="CCEEFF" w:val="clear"/>
            <w:vAlign w:val="bottom"/>
          </w:tcPr>
          <w:p>
            <w:pPr>
              <w:pStyle w:val="TableContents"/>
              <w:bidi w:val="0"/>
              <w:spacing w:before="0" w:after="283"/>
              <w:jc w:val="left"/>
              <w:rPr/>
            </w:pPr>
            <w:r>
              <w:rPr/>
              <w:t> </w:t>
            </w:r>
          </w:p>
        </w:tc>
      </w:tr>
      <w:tr>
        <w:trPr/>
        <w:tc>
          <w:tcPr>
            <w:tcW w:w="5184"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226,990</w:t>
            </w:r>
          </w:p>
        </w:tc>
        <w:tc>
          <w:tcPr>
            <w:tcW w:w="176"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13.70</w:t>
            </w:r>
          </w:p>
        </w:tc>
        <w:tc>
          <w:tcPr>
            <w:tcW w:w="64" w:type="dxa"/>
            <w:tcBorders/>
            <w:vAlign w:val="bottom"/>
          </w:tcPr>
          <w:p>
            <w:pPr>
              <w:pStyle w:val="TableContents"/>
              <w:bidi w:val="0"/>
              <w:spacing w:before="0" w:after="283"/>
              <w:jc w:val="left"/>
              <w:rPr/>
            </w:pPr>
            <w:r>
              <w:rPr/>
              <w:t> </w:t>
            </w:r>
          </w:p>
        </w:tc>
      </w:tr>
      <w:tr>
        <w:trPr/>
        <w:tc>
          <w:tcPr>
            <w:tcW w:w="51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3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(196,523</w:t>
            </w:r>
          </w:p>
        </w:tc>
        <w:tc>
          <w:tcPr>
            <w:tcW w:w="176"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11.61</w:t>
            </w:r>
          </w:p>
        </w:tc>
        <w:tc>
          <w:tcPr>
            <w:tcW w:w="64" w:type="dxa"/>
            <w:tcBorders/>
            <w:shd w:fill="CCEEFF" w:val="clear"/>
            <w:vAlign w:val="bottom"/>
          </w:tcPr>
          <w:p>
            <w:pPr>
              <w:pStyle w:val="TableContents"/>
              <w:bidi w:val="0"/>
              <w:spacing w:before="0" w:after="283"/>
              <w:jc w:val="left"/>
              <w:rPr/>
            </w:pPr>
            <w:r>
              <w:rPr/>
              <w:t> </w:t>
            </w:r>
          </w:p>
        </w:tc>
      </w:tr>
      <w:tr>
        <w:trPr/>
        <w:tc>
          <w:tcPr>
            <w:tcW w:w="5184"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(56,924</w:t>
            </w:r>
          </w:p>
        </w:tc>
        <w:tc>
          <w:tcPr>
            <w:tcW w:w="176"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13.98</w:t>
            </w:r>
          </w:p>
        </w:tc>
        <w:tc>
          <w:tcPr>
            <w:tcW w:w="64" w:type="dxa"/>
            <w:tcBorders/>
            <w:vAlign w:val="bottom"/>
          </w:tcPr>
          <w:p>
            <w:pPr>
              <w:pStyle w:val="TableContents"/>
              <w:bidi w:val="0"/>
              <w:spacing w:before="0" w:after="283"/>
              <w:jc w:val="left"/>
              <w:rPr/>
            </w:pPr>
            <w:r>
              <w:rPr/>
              <w:t> </w:t>
            </w:r>
          </w:p>
        </w:tc>
      </w:tr>
      <w:tr>
        <w:trPr/>
        <w:tc>
          <w:tcPr>
            <w:tcW w:w="5184"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Nonvested at December 31, 2025</w:t>
            </w:r>
          </w:p>
        </w:tc>
        <w:tc>
          <w:tcPr>
            <w:tcW w:w="3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373,572</w:t>
            </w:r>
          </w:p>
        </w:tc>
        <w:tc>
          <w:tcPr>
            <w:tcW w:w="176"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14.41</w:t>
            </w:r>
          </w:p>
        </w:tc>
        <w:tc>
          <w:tcPr>
            <w:tcW w:w="64" w:type="dxa"/>
            <w:tcBorders/>
            <w:shd w:fill="CCEEFF" w:val="clear"/>
            <w:vAlign w:val="bottom"/>
          </w:tcPr>
          <w:p>
            <w:pPr>
              <w:pStyle w:val="TableContents"/>
              <w:bidi w:val="0"/>
              <w:spacing w:before="0" w:after="283"/>
              <w:jc w:val="left"/>
              <w:rPr/>
            </w:pPr>
            <w:r>
              <w:rPr/>
              <w:t> </w:t>
            </w:r>
          </w:p>
        </w:tc>
      </w:tr>
      <w:tr>
        <w:trPr/>
        <w:tc>
          <w:tcPr>
            <w:tcW w:w="5184"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During the years ended December 31, 2025 and 2024, respectively, the total grant-date fair value of options granted was $3.0 million and $3.6 million. During the years ended December 31, 2025 and 2024, respectively, the total grant-date fair value of options vested was $2.3 million and $2.3 million. As of December 31, 2025, there was $5.0 million of total unrecognized compensation cost related to nonvested stock options. This cost is expected to be recognized over the weighted average period of 2.9 years. </w:t>
      </w:r>
    </w:p>
    <w:p>
      <w:pPr>
        <w:pStyle w:val="TextBody"/>
        <w:bidi w:val="0"/>
        <w:spacing w:before="360" w:after="0"/>
        <w:jc w:val="left"/>
        <w:rPr>
          <w:rFonts w:ascii="Times New Roman" w:hAnsi="Times New Roman"/>
          <w:b/>
          <w:sz w:val="20"/>
        </w:rPr>
      </w:pPr>
      <w:r>
        <w:rPr>
          <w:rFonts w:ascii="Times New Roman" w:hAnsi="Times New Roman"/>
          <w:b/>
          <w:sz w:val="20"/>
        </w:rPr>
        <w:t xml:space="preserve">NOTE 15 – Operating Subsidiary Stock Plans </w:t>
      </w:r>
    </w:p>
    <w:p>
      <w:pPr>
        <w:pStyle w:val="TextBody"/>
        <w:bidi w:val="0"/>
        <w:spacing w:before="120" w:after="0"/>
        <w:jc w:val="left"/>
        <w:rPr>
          <w:rFonts w:ascii="Times New Roman" w:hAnsi="Times New Roman"/>
          <w:sz w:val="20"/>
        </w:rPr>
      </w:pPr>
      <w:r>
        <w:rPr>
          <w:rFonts w:ascii="Times New Roman" w:hAnsi="Times New Roman"/>
          <w:sz w:val="20"/>
        </w:rPr>
        <w:t>Each of the domestic Operating Subsidiaries has adopted a stock plan, as amended and restated (the “Operating Subsidiary Stock Plan(s)”) in order to promote the long-term financial interest of the Operating Subsidiary by attracting, retaining, and rewarding employees who will contribute to the Operating Subsidiary’s success. The individuals eligible to receive awards are any full-time and certain part-time employees of the Operating Subsidiaries. Awards that may be granted under the Operating Subsidiary Stock Plans include restricted stock, and the governing terms of such awards are documented in both the Operating Subsidiary Stock Plan and pursuant to the individual grant agreements with the individual employees. As of December 31, 2025, each Operating Subsidiary Stock Plan authorized 19,999 shares of common stock to be issued to its employees. As of December 31, 2025, the total number of shares of common stock authorized to be issued for all Operating Subsidiaries was 1,779,912. The shares typically vest ratably over a four or five-year period, with a one-year cliff vesting followed by monthly vesting thereafter. International Operating Subsidiaries have not adopted a stock plan as of December 31, 2025.</w:t>
      </w:r>
    </w:p>
    <w:p>
      <w:pPr>
        <w:pStyle w:val="TextBody"/>
        <w:bidi w:val="0"/>
        <w:spacing w:before="240" w:after="0"/>
        <w:jc w:val="left"/>
        <w:rPr>
          <w:rFonts w:ascii="Times New Roman" w:hAnsi="Times New Roman"/>
          <w:sz w:val="20"/>
        </w:rPr>
      </w:pPr>
      <w:r>
        <w:rPr>
          <w:rFonts w:ascii="Times New Roman" w:hAnsi="Times New Roman"/>
          <w:sz w:val="20"/>
        </w:rPr>
        <w:t xml:space="preserve">All restricted stock awards issued under the Operating Subsidiary Stock Plans are classified as equity. </w:t>
      </w:r>
    </w:p>
    <w:p>
      <w:pPr>
        <w:pStyle w:val="TextBody"/>
        <w:bidi w:val="0"/>
        <w:spacing w:before="0" w:after="0"/>
        <w:jc w:val="left"/>
        <w:rPr>
          <w:rFonts w:ascii="Times New Roman" w:hAnsi="Times New Roman"/>
          <w:sz w:val="20"/>
        </w:rPr>
      </w:pPr>
      <w:r>
        <w:rPr>
          <w:rFonts w:ascii="Times New Roman" w:hAnsi="Times New Roman"/>
          <w:sz w:val="20"/>
        </w:rPr>
        <w:t>Dividends on restricted stock awards issued under the Operating Subsidiary Stock Plans are recognized in Noncontrolling Interests in the periods in which the awards are classified as equity.</w:t>
      </w:r>
    </w:p>
    <w:p>
      <w:pPr>
        <w:pStyle w:val="TextBody"/>
        <w:bidi w:val="0"/>
        <w:spacing w:before="240" w:after="0"/>
        <w:jc w:val="left"/>
        <w:rPr>
          <w:rFonts w:ascii="Times New Roman" w:hAnsi="Times New Roman"/>
          <w:sz w:val="20"/>
        </w:rPr>
      </w:pPr>
      <w:r>
        <w:rPr>
          <w:rFonts w:ascii="Times New Roman" w:hAnsi="Times New Roman"/>
          <w:sz w:val="20"/>
        </w:rPr>
        <w:t xml:space="preserve">The Company generally utilizes a market approach to value awards granted within a reasonable time frame from the respective acquisition date for each Operating Subsidiary. The Company estimates the enterprise value by calibrating to the transaction price paid by the Company. For subsequent awards granted, the Company generally considers both the market approach and the income approach in concluding on an enterprise value. The fair value of the restricted stock grant is estimated by allocating enterprise value across one or more probability-weighted scenarios with an option-pricing model used to estimate the allocation of value within at least one of these scenarios. The assumptions used in valuing the restricted stock granted during the years ended December 31, 2025 and 2024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73"/>
        <w:gridCol w:w="374"/>
        <w:gridCol w:w="76"/>
        <w:gridCol w:w="1460"/>
        <w:gridCol w:w="275"/>
        <w:gridCol w:w="283"/>
        <w:gridCol w:w="76"/>
        <w:gridCol w:w="1460"/>
        <w:gridCol w:w="278"/>
      </w:tblGrid>
      <w:tr>
        <w:trPr/>
        <w:tc>
          <w:tcPr>
            <w:tcW w:w="3473"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473"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27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5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278" w:type="dxa"/>
            <w:tcBorders/>
            <w:vAlign w:val="bottom"/>
          </w:tcPr>
          <w:p>
            <w:pPr>
              <w:pStyle w:val="TableContents"/>
              <w:bidi w:val="0"/>
              <w:spacing w:before="0" w:after="283"/>
              <w:jc w:val="left"/>
              <w:rPr/>
            </w:pPr>
            <w:r>
              <w:rPr/>
              <w:t> </w:t>
            </w:r>
          </w:p>
        </w:tc>
      </w:tr>
      <w:tr>
        <w:trPr/>
        <w:tc>
          <w:tcPr>
            <w:tcW w:w="3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7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25 - 55</w:t>
            </w:r>
          </w:p>
        </w:tc>
        <w:tc>
          <w:tcPr>
            <w:tcW w:w="27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25 - 55</w:t>
            </w:r>
          </w:p>
        </w:tc>
        <w:tc>
          <w:tcPr>
            <w:tcW w:w="278" w:type="dxa"/>
            <w:tcBorders/>
            <w:shd w:fill="CCEEFF" w:val="clear"/>
            <w:vAlign w:val="bottom"/>
          </w:tcPr>
          <w:p>
            <w:pPr>
              <w:pStyle w:val="TableContents"/>
              <w:bidi w:val="0"/>
              <w:spacing w:before="0" w:after="283"/>
              <w:jc w:val="left"/>
              <w:rPr/>
            </w:pPr>
            <w:r>
              <w:rPr/>
              <w:t>% </w:t>
            </w:r>
          </w:p>
        </w:tc>
      </w:tr>
      <w:tr>
        <w:trPr/>
        <w:tc>
          <w:tcPr>
            <w:tcW w:w="3473" w:type="dxa"/>
            <w:tcBorders/>
          </w:tcPr>
          <w:p>
            <w:pPr>
              <w:pStyle w:val="TableContents"/>
              <w:bidi w:val="0"/>
              <w:spacing w:before="0" w:after="0"/>
              <w:jc w:val="left"/>
              <w:rPr>
                <w:rFonts w:ascii="Times New Roman" w:hAnsi="Times New Roman"/>
                <w:sz w:val="20"/>
              </w:rPr>
            </w:pPr>
            <w:r>
              <w:rPr>
                <w:rFonts w:ascii="Times New Roman" w:hAnsi="Times New Roman"/>
                <w:sz w:val="20"/>
              </w:rPr>
              <w:t>Time to liquidity (years)</w:t>
            </w:r>
          </w:p>
        </w:tc>
        <w:tc>
          <w:tcPr>
            <w:tcW w:w="37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2 - 5</w:t>
            </w:r>
          </w:p>
        </w:tc>
        <w:tc>
          <w:tcPr>
            <w:tcW w:w="27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2 - 5</w:t>
            </w:r>
          </w:p>
        </w:tc>
        <w:tc>
          <w:tcPr>
            <w:tcW w:w="278" w:type="dxa"/>
            <w:tcBorders/>
            <w:vAlign w:val="bottom"/>
          </w:tcPr>
          <w:p>
            <w:pPr>
              <w:pStyle w:val="TableContents"/>
              <w:bidi w:val="0"/>
              <w:spacing w:before="0" w:after="283"/>
              <w:jc w:val="left"/>
              <w:rPr/>
            </w:pPr>
            <w:r>
              <w:rPr/>
              <w:t> </w:t>
            </w:r>
          </w:p>
        </w:tc>
      </w:tr>
      <w:tr>
        <w:trPr/>
        <w:tc>
          <w:tcPr>
            <w:tcW w:w="3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37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3.5 - 4.6</w:t>
            </w:r>
          </w:p>
        </w:tc>
        <w:tc>
          <w:tcPr>
            <w:tcW w:w="27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3.6 - 4.7</w:t>
            </w:r>
          </w:p>
        </w:tc>
        <w:tc>
          <w:tcPr>
            <w:tcW w:w="278" w:type="dxa"/>
            <w:tcBorders/>
            <w:shd w:fill="CCEEFF" w:val="clear"/>
            <w:vAlign w:val="bottom"/>
          </w:tcPr>
          <w:p>
            <w:pPr>
              <w:pStyle w:val="TableContents"/>
              <w:bidi w:val="0"/>
              <w:spacing w:before="0" w:after="283"/>
              <w:jc w:val="left"/>
              <w:rPr/>
            </w:pPr>
            <w:r>
              <w:rPr/>
              <w:t>% </w:t>
            </w:r>
          </w:p>
        </w:tc>
      </w:tr>
      <w:tr>
        <w:trPr/>
        <w:tc>
          <w:tcPr>
            <w:tcW w:w="3473" w:type="dxa"/>
            <w:tcBorders/>
          </w:tcPr>
          <w:p>
            <w:pPr>
              <w:pStyle w:val="TableContents"/>
              <w:bidi w:val="0"/>
              <w:spacing w:before="0" w:after="0"/>
              <w:jc w:val="left"/>
              <w:rPr>
                <w:rFonts w:ascii="Times New Roman" w:hAnsi="Times New Roman"/>
                <w:sz w:val="20"/>
              </w:rPr>
            </w:pPr>
            <w:r>
              <w:rPr>
                <w:rFonts w:ascii="Times New Roman" w:hAnsi="Times New Roman"/>
                <w:sz w:val="20"/>
              </w:rPr>
              <w:t>Discount for lack of marketability</w:t>
            </w:r>
          </w:p>
        </w:tc>
        <w:tc>
          <w:tcPr>
            <w:tcW w:w="37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32.0 - 68.0</w:t>
            </w:r>
          </w:p>
        </w:tc>
        <w:tc>
          <w:tcPr>
            <w:tcW w:w="27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32.0 - 54.0</w:t>
            </w:r>
          </w:p>
        </w:tc>
        <w:tc>
          <w:tcPr>
            <w:tcW w:w="278" w:type="dxa"/>
            <w:tcBorders/>
            <w:vAlign w:val="bottom"/>
          </w:tcPr>
          <w:p>
            <w:pPr>
              <w:pStyle w:val="TableContents"/>
              <w:bidi w:val="0"/>
              <w:spacing w:before="0" w:after="283"/>
              <w:jc w:val="left"/>
              <w:rPr/>
            </w:pPr>
            <w:r>
              <w:rPr/>
              <w:t>% </w:t>
            </w:r>
          </w:p>
        </w:tc>
      </w:tr>
      <w:tr>
        <w:trPr/>
        <w:tc>
          <w:tcPr>
            <w:tcW w:w="3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for lack of control</w:t>
            </w:r>
          </w:p>
        </w:tc>
        <w:tc>
          <w:tcPr>
            <w:tcW w:w="37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9.1 - 27.8</w:t>
            </w:r>
          </w:p>
        </w:tc>
        <w:tc>
          <w:tcPr>
            <w:tcW w:w="27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16.2 - 30.3</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summary of restricted stock activity for the years ended December 31, 2025 and 2024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66"/>
        <w:gridCol w:w="464"/>
        <w:gridCol w:w="83"/>
        <w:gridCol w:w="1122"/>
        <w:gridCol w:w="155"/>
        <w:gridCol w:w="464"/>
        <w:gridCol w:w="331"/>
        <w:gridCol w:w="1406"/>
        <w:gridCol w:w="64"/>
      </w:tblGrid>
      <w:tr>
        <w:trPr/>
        <w:tc>
          <w:tcPr>
            <w:tcW w:w="3666"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66"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7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Grant</w:t>
              <w:br/>
              <w:t>Date Fair Value</w:t>
            </w:r>
          </w:p>
        </w:tc>
        <w:tc>
          <w:tcPr>
            <w:tcW w:w="64"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2024</w:t>
            </w:r>
          </w:p>
        </w:tc>
        <w:tc>
          <w:tcPr>
            <w:tcW w:w="46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72,205</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w:t>
            </w:r>
          </w:p>
        </w:tc>
        <w:tc>
          <w:tcPr>
            <w:tcW w:w="1406" w:type="dxa"/>
            <w:tcBorders/>
            <w:shd w:fill="CCEEFF" w:val="clear"/>
            <w:vAlign w:val="bottom"/>
          </w:tcPr>
          <w:p>
            <w:pPr>
              <w:pStyle w:val="TableContents"/>
              <w:bidi w:val="0"/>
              <w:spacing w:before="0" w:after="283"/>
              <w:jc w:val="right"/>
              <w:rPr/>
            </w:pPr>
            <w:r>
              <w:rPr/>
              <w:t>72.03</w:t>
            </w:r>
          </w:p>
        </w:tc>
        <w:tc>
          <w:tcPr>
            <w:tcW w:w="64"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Issued</w:t>
            </w:r>
          </w:p>
        </w:tc>
        <w:tc>
          <w:tcPr>
            <w:tcW w:w="46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21,636</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right"/>
              <w:rPr/>
            </w:pPr>
            <w:r>
              <w:rPr/>
              <w:t>60.45</w:t>
            </w:r>
          </w:p>
        </w:tc>
        <w:tc>
          <w:tcPr>
            <w:tcW w:w="64"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46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(25,480</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406" w:type="dxa"/>
            <w:tcBorders/>
            <w:shd w:fill="CCEEFF" w:val="clear"/>
            <w:vAlign w:val="bottom"/>
          </w:tcPr>
          <w:p>
            <w:pPr>
              <w:pStyle w:val="TableContents"/>
              <w:bidi w:val="0"/>
              <w:spacing w:before="0" w:after="283"/>
              <w:jc w:val="right"/>
              <w:rPr/>
            </w:pPr>
            <w:r>
              <w:rPr/>
              <w:t>71.74</w:t>
            </w:r>
          </w:p>
        </w:tc>
        <w:tc>
          <w:tcPr>
            <w:tcW w:w="64"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Forfeited or cancelled</w:t>
            </w:r>
          </w:p>
        </w:tc>
        <w:tc>
          <w:tcPr>
            <w:tcW w:w="46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(18,125</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right"/>
              <w:rPr/>
            </w:pPr>
            <w:r>
              <w:rPr/>
              <w:t>63.24</w:t>
            </w:r>
          </w:p>
        </w:tc>
        <w:tc>
          <w:tcPr>
            <w:tcW w:w="64" w:type="dxa"/>
            <w:tcBorders/>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331" w:type="dxa"/>
            <w:tcBorders/>
            <w:vAlign w:val="bottom"/>
          </w:tcPr>
          <w:p>
            <w:pPr>
              <w:pStyle w:val="TableContents"/>
              <w:pBdr>
                <w:top w:val="single" w:sz="2" w:space="1" w:color="000000"/>
              </w:pBdr>
              <w:bidi w:val="0"/>
              <w:spacing w:before="0" w:after="0"/>
              <w:jc w:val="left"/>
              <w:rPr/>
            </w:pPr>
            <w:r>
              <w:rPr/>
              <w:t> </w:t>
            </w:r>
          </w:p>
        </w:tc>
        <w:tc>
          <w:tcPr>
            <w:tcW w:w="140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46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50,236</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w:t>
            </w:r>
          </w:p>
        </w:tc>
        <w:tc>
          <w:tcPr>
            <w:tcW w:w="1406" w:type="dxa"/>
            <w:tcBorders/>
            <w:shd w:fill="CCEEFF" w:val="clear"/>
            <w:vAlign w:val="bottom"/>
          </w:tcPr>
          <w:p>
            <w:pPr>
              <w:pStyle w:val="TableContents"/>
              <w:bidi w:val="0"/>
              <w:spacing w:before="0" w:after="283"/>
              <w:jc w:val="right"/>
              <w:rPr/>
            </w:pPr>
            <w:r>
              <w:rPr/>
              <w:t>70.35</w:t>
            </w:r>
          </w:p>
        </w:tc>
        <w:tc>
          <w:tcPr>
            <w:tcW w:w="64"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Issued</w:t>
            </w:r>
          </w:p>
        </w:tc>
        <w:tc>
          <w:tcPr>
            <w:tcW w:w="46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18,494</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right"/>
              <w:rPr/>
            </w:pPr>
            <w:r>
              <w:rPr/>
              <w:t>68.77</w:t>
            </w:r>
          </w:p>
        </w:tc>
        <w:tc>
          <w:tcPr>
            <w:tcW w:w="64"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46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(19,525</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406" w:type="dxa"/>
            <w:tcBorders/>
            <w:shd w:fill="CCEEFF" w:val="clear"/>
            <w:vAlign w:val="bottom"/>
          </w:tcPr>
          <w:p>
            <w:pPr>
              <w:pStyle w:val="TableContents"/>
              <w:bidi w:val="0"/>
              <w:spacing w:before="0" w:after="283"/>
              <w:jc w:val="right"/>
              <w:rPr/>
            </w:pPr>
            <w:r>
              <w:rPr/>
              <w:t>73.60</w:t>
            </w:r>
          </w:p>
        </w:tc>
        <w:tc>
          <w:tcPr>
            <w:tcW w:w="64"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Forfeited or cancelled</w:t>
            </w:r>
          </w:p>
        </w:tc>
        <w:tc>
          <w:tcPr>
            <w:tcW w:w="46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(14,457</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right"/>
              <w:rPr/>
            </w:pPr>
            <w:r>
              <w:rPr/>
              <w:t>60.98</w:t>
            </w:r>
          </w:p>
        </w:tc>
        <w:tc>
          <w:tcPr>
            <w:tcW w:w="64" w:type="dxa"/>
            <w:tcBorders/>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331" w:type="dxa"/>
            <w:tcBorders/>
            <w:vAlign w:val="bottom"/>
          </w:tcPr>
          <w:p>
            <w:pPr>
              <w:pStyle w:val="TableContents"/>
              <w:pBdr>
                <w:top w:val="single" w:sz="2" w:space="1" w:color="000000"/>
              </w:pBdr>
              <w:bidi w:val="0"/>
              <w:spacing w:before="0" w:after="0"/>
              <w:jc w:val="left"/>
              <w:rPr/>
            </w:pPr>
            <w:r>
              <w:rPr/>
              <w:t> </w:t>
            </w:r>
          </w:p>
        </w:tc>
        <w:tc>
          <w:tcPr>
            <w:tcW w:w="140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46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34,749</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w:t>
            </w:r>
          </w:p>
        </w:tc>
        <w:tc>
          <w:tcPr>
            <w:tcW w:w="1406" w:type="dxa"/>
            <w:tcBorders/>
            <w:shd w:fill="CCEEFF" w:val="clear"/>
            <w:vAlign w:val="bottom"/>
          </w:tcPr>
          <w:p>
            <w:pPr>
              <w:pStyle w:val="TableContents"/>
              <w:bidi w:val="0"/>
              <w:spacing w:before="0" w:after="283"/>
              <w:jc w:val="right"/>
              <w:rPr/>
            </w:pPr>
            <w:r>
              <w:rPr/>
              <w:t>71.58</w:t>
            </w:r>
          </w:p>
        </w:tc>
        <w:tc>
          <w:tcPr>
            <w:tcW w:w="64" w:type="dxa"/>
            <w:tcBorders/>
            <w:shd w:fill="CCEEFF" w:val="clear"/>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331" w:type="dxa"/>
            <w:tcBorders/>
            <w:vAlign w:val="bottom"/>
          </w:tcPr>
          <w:p>
            <w:pPr>
              <w:pStyle w:val="TableContents"/>
              <w:pBdr>
                <w:top w:val="single" w:sz="2" w:space="1" w:color="000000"/>
              </w:pBdr>
              <w:bidi w:val="0"/>
              <w:spacing w:before="0" w:after="0"/>
              <w:jc w:val="left"/>
              <w:rPr/>
            </w:pPr>
            <w:r>
              <w:rPr/>
              <w:t> </w:t>
            </w:r>
          </w:p>
        </w:tc>
        <w:tc>
          <w:tcPr>
            <w:tcW w:w="140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2025, the Company recognized $1.5 million of compensation expense related to the Operating Subsidiary Stock Plans and the Company paid $1.2 million of distributions to employee-owners that were recognized in Noncontrolling Interests. In comparison, during the year ended December 31, 2024, the Company recognized $1.8 million of compensation expense related to the Operating Subsidiary Stock Plans and the Company paid $1.2 million of distributions to employee-owners that were recognized in Noncontrolling Interests. The related expenses are recognized in Selling, General, and Administrative Expenses on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Repurchases of shares of common stock from employee-owners were $1.6 million and $1.0 million during the years ended December 31, 2025 and 2024, respectively. As of December 31, 2025, there was $2.4 million of unrecognized compensation cost related to nonvested restricted common stock that is expected to be recognized over the weighted average period of 1.3 years. </w:t>
      </w:r>
    </w:p>
    <w:p>
      <w:pPr>
        <w:pStyle w:val="TextBody"/>
        <w:bidi w:val="0"/>
        <w:spacing w:before="360" w:after="0"/>
        <w:jc w:val="left"/>
        <w:rPr>
          <w:rFonts w:ascii="Times New Roman" w:hAnsi="Times New Roman"/>
          <w:sz w:val="20"/>
        </w:rPr>
      </w:pPr>
      <w:r>
        <w:rPr>
          <w:rFonts w:ascii="Times New Roman" w:hAnsi="Times New Roman"/>
          <w:b/>
          <w:sz w:val="20"/>
        </w:rPr>
        <w:t xml:space="preserve">NOTE 16 </w:t>
      </w:r>
      <w:r>
        <w:rPr>
          <w:rFonts w:ascii="Times New Roman" w:hAnsi="Times New Roman"/>
          <w:sz w:val="20"/>
        </w:rPr>
        <w:t xml:space="preserve">– </w:t>
      </w:r>
      <w:r>
        <w:rPr>
          <w:rFonts w:ascii="Times New Roman" w:hAnsi="Times New Roman"/>
          <w:b/>
          <w:sz w:val="20"/>
        </w:rPr>
        <w:t>Net Loss Per Share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is computed by dividing Net Loss Attributable to Common Stockholders by the weighted average number of common shares outstanding during the period. Each series of preferred stock is considered to be a participating security. Therefore, the Company applies the two-class method in calculating its net loss per share for periods when the Company generates net income. Net losses are not allocated to preferred shares in the Company, as they are not contractually obligated to share in the Company’s losses. </w:t>
      </w:r>
    </w:p>
    <w:p>
      <w:pPr>
        <w:pStyle w:val="TextBody"/>
        <w:bidi w:val="0"/>
        <w:spacing w:before="240" w:after="0"/>
        <w:jc w:val="left"/>
        <w:rPr>
          <w:rFonts w:ascii="Times New Roman" w:hAnsi="Times New Roman"/>
          <w:sz w:val="20"/>
        </w:rPr>
      </w:pPr>
      <w:r>
        <w:rPr>
          <w:rFonts w:ascii="Times New Roman" w:hAnsi="Times New Roman"/>
          <w:sz w:val="20"/>
        </w:rPr>
        <w:t xml:space="preserve">Diluted Net Loss Per Share is computed by dividing Net Loss Attributable to Common Stockholders by the weighted average number of common and dilutive common equivalent shares outstanding for the period using the treasury-stock method or the as-converted method, or the two-class method for participating securities, whichever is more dilutive. Potentially dilutive shares are comprised of preferred stock, warrants, and stock options. For the years ended December 31, 2025 and 2024, there is no difference in the number of shares used to calculate basic and diluted shares outstanding due to the Company’s net loss and potentially dilutive shares being anti-dilutive.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2025 and 2024, the Company repurchased certain Rollover Shares. The difference between the carrying value and the repurchase value on the repurchase date has been included as an adjustment to Net Loss Attributable to Common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reconciliation of the numerator and denominator used in the calculation of basic and diluted net loss per share for the years ended December 31, 2025 and 2024 is as follows </w:t>
      </w:r>
      <w:r>
        <w:rPr>
          <w:rFonts w:ascii="Times New Roman" w:hAnsi="Times New Roman"/>
          <w:i/>
          <w:sz w:val="20"/>
        </w:rPr>
        <w:t>(dollars in thousands, except per share data):</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23"/>
        <w:gridCol w:w="437"/>
        <w:gridCol w:w="177"/>
        <w:gridCol w:w="1245"/>
        <w:gridCol w:w="155"/>
        <w:gridCol w:w="437"/>
        <w:gridCol w:w="177"/>
        <w:gridCol w:w="1245"/>
        <w:gridCol w:w="159"/>
      </w:tblGrid>
      <w:tr>
        <w:trPr/>
        <w:tc>
          <w:tcPr>
            <w:tcW w:w="3723"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2024</w:t>
            </w:r>
          </w:p>
        </w:tc>
        <w:tc>
          <w:tcPr>
            <w:tcW w:w="159" w:type="dxa"/>
            <w:tcBorders/>
            <w:vAlign w:val="bottom"/>
          </w:tcPr>
          <w:p>
            <w:pPr>
              <w:pStyle w:val="TableContents"/>
              <w:bidi w:val="0"/>
              <w:spacing w:before="0" w:after="283"/>
              <w:jc w:val="left"/>
              <w:rPr/>
            </w:pPr>
            <w:r>
              <w:rPr/>
              <w:t> </w:t>
            </w:r>
          </w:p>
        </w:tc>
      </w:tr>
      <w:tr>
        <w:trPr/>
        <w:tc>
          <w:tcPr>
            <w:tcW w:w="37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43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723"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Teamshares Inc.</w:t>
            </w:r>
          </w:p>
        </w:tc>
        <w:tc>
          <w:tcPr>
            <w:tcW w:w="43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(65,919</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(83,297</w:t>
            </w:r>
          </w:p>
        </w:tc>
        <w:tc>
          <w:tcPr>
            <w:tcW w:w="159" w:type="dxa"/>
            <w:tcBorders/>
            <w:vAlign w:val="bottom"/>
          </w:tcPr>
          <w:p>
            <w:pPr>
              <w:pStyle w:val="TableContents"/>
              <w:bidi w:val="0"/>
              <w:spacing w:before="0" w:after="283"/>
              <w:jc w:val="left"/>
              <w:rPr/>
            </w:pPr>
            <w:r>
              <w:rPr/>
              <w:t>) </w:t>
            </w:r>
          </w:p>
        </w:tc>
      </w:tr>
      <w:tr>
        <w:trPr/>
        <w:tc>
          <w:tcPr>
            <w:tcW w:w="3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Rollover Share adjustments</w:t>
            </w:r>
          </w:p>
        </w:tc>
        <w:tc>
          <w:tcPr>
            <w:tcW w:w="43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248</w:t>
            </w:r>
          </w:p>
        </w:tc>
        <w:tc>
          <w:tcPr>
            <w:tcW w:w="15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273</w:t>
            </w:r>
          </w:p>
        </w:tc>
        <w:tc>
          <w:tcPr>
            <w:tcW w:w="159" w:type="dxa"/>
            <w:tcBorders/>
            <w:shd w:fill="CCEEFF" w:val="clear"/>
            <w:vAlign w:val="bottom"/>
          </w:tcPr>
          <w:p>
            <w:pPr>
              <w:pStyle w:val="TableContents"/>
              <w:bidi w:val="0"/>
              <w:spacing w:before="0" w:after="283"/>
              <w:jc w:val="left"/>
              <w:rPr/>
            </w:pPr>
            <w:r>
              <w:rPr/>
              <w:t> </w:t>
            </w:r>
          </w:p>
        </w:tc>
      </w:tr>
      <w:tr>
        <w:trPr/>
        <w:tc>
          <w:tcPr>
            <w:tcW w:w="3723"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23"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43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(65,670</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(83,024</w:t>
            </w:r>
          </w:p>
        </w:tc>
        <w:tc>
          <w:tcPr>
            <w:tcW w:w="159" w:type="dxa"/>
            <w:tcBorders/>
            <w:vAlign w:val="bottom"/>
          </w:tcPr>
          <w:p>
            <w:pPr>
              <w:pStyle w:val="TableContents"/>
              <w:bidi w:val="0"/>
              <w:spacing w:before="0" w:after="283"/>
              <w:jc w:val="left"/>
              <w:rPr/>
            </w:pPr>
            <w:r>
              <w:rPr/>
              <w:t>) </w:t>
            </w:r>
          </w:p>
        </w:tc>
      </w:tr>
      <w:tr>
        <w:trPr/>
        <w:tc>
          <w:tcPr>
            <w:tcW w:w="37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43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723"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w:t>
            </w:r>
          </w:p>
        </w:tc>
        <w:tc>
          <w:tcPr>
            <w:tcW w:w="43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1,163,147</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1,153,618</w:t>
            </w:r>
          </w:p>
        </w:tc>
        <w:tc>
          <w:tcPr>
            <w:tcW w:w="159" w:type="dxa"/>
            <w:tcBorders/>
            <w:vAlign w:val="bottom"/>
          </w:tcPr>
          <w:p>
            <w:pPr>
              <w:pStyle w:val="TableContents"/>
              <w:bidi w:val="0"/>
              <w:spacing w:before="0" w:after="283"/>
              <w:jc w:val="left"/>
              <w:rPr/>
            </w:pPr>
            <w:r>
              <w:rPr/>
              <w:t> </w:t>
            </w:r>
          </w:p>
        </w:tc>
      </w:tr>
      <w:tr>
        <w:trPr/>
        <w:tc>
          <w:tcPr>
            <w:tcW w:w="3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43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(56.46</w:t>
            </w:r>
          </w:p>
        </w:tc>
        <w:tc>
          <w:tcPr>
            <w:tcW w:w="15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(71.97</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common stock equivalents were excluded in the calculation of net loss per diluted share because their effect was anti-dilutive: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91"/>
        <w:gridCol w:w="347"/>
        <w:gridCol w:w="81"/>
        <w:gridCol w:w="1342"/>
        <w:gridCol w:w="60"/>
        <w:gridCol w:w="347"/>
        <w:gridCol w:w="81"/>
        <w:gridCol w:w="1342"/>
        <w:gridCol w:w="64"/>
      </w:tblGrid>
      <w:tr>
        <w:trPr/>
        <w:tc>
          <w:tcPr>
            <w:tcW w:w="4091"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9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2024</w:t>
            </w:r>
          </w:p>
        </w:tc>
        <w:tc>
          <w:tcPr>
            <w:tcW w:w="64" w:type="dxa"/>
            <w:tcBorders/>
            <w:vAlign w:val="bottom"/>
          </w:tcPr>
          <w:p>
            <w:pPr>
              <w:pStyle w:val="TableContents"/>
              <w:bidi w:val="0"/>
              <w:spacing w:before="0" w:after="283"/>
              <w:jc w:val="left"/>
              <w:rPr/>
            </w:pPr>
            <w:r>
              <w:rPr/>
              <w:t> </w:t>
            </w:r>
          </w:p>
        </w:tc>
      </w:tr>
      <w:tr>
        <w:trPr/>
        <w:tc>
          <w:tcPr>
            <w:tcW w:w="4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Shares</w:t>
            </w:r>
          </w:p>
        </w:tc>
        <w:tc>
          <w:tcPr>
            <w:tcW w:w="347"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7,758,235</w:t>
            </w:r>
          </w:p>
        </w:tc>
        <w:tc>
          <w:tcPr>
            <w:tcW w:w="6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7,740,549</w:t>
            </w:r>
          </w:p>
        </w:tc>
        <w:tc>
          <w:tcPr>
            <w:tcW w:w="64" w:type="dxa"/>
            <w:tcBorders/>
            <w:shd w:fill="CCEEFF" w:val="clear"/>
            <w:vAlign w:val="bottom"/>
          </w:tcPr>
          <w:p>
            <w:pPr>
              <w:pStyle w:val="TableContents"/>
              <w:bidi w:val="0"/>
              <w:spacing w:before="0" w:after="283"/>
              <w:jc w:val="left"/>
              <w:rPr/>
            </w:pPr>
            <w:r>
              <w:rPr/>
              <w:t> </w:t>
            </w:r>
          </w:p>
        </w:tc>
      </w:tr>
      <w:tr>
        <w:trPr/>
        <w:tc>
          <w:tcPr>
            <w:tcW w:w="4091"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347"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218,340</w:t>
            </w:r>
          </w:p>
        </w:tc>
        <w:tc>
          <w:tcPr>
            <w:tcW w:w="6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202,782</w:t>
            </w:r>
          </w:p>
        </w:tc>
        <w:tc>
          <w:tcPr>
            <w:tcW w:w="64" w:type="dxa"/>
            <w:tcBorders/>
            <w:vAlign w:val="bottom"/>
          </w:tcPr>
          <w:p>
            <w:pPr>
              <w:pStyle w:val="TableContents"/>
              <w:bidi w:val="0"/>
              <w:spacing w:before="0" w:after="283"/>
              <w:jc w:val="left"/>
              <w:rPr/>
            </w:pPr>
            <w:r>
              <w:rPr/>
              <w:t> </w:t>
            </w:r>
          </w:p>
        </w:tc>
      </w:tr>
      <w:tr>
        <w:trPr/>
        <w:tc>
          <w:tcPr>
            <w:tcW w:w="4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347"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1,359,850</w:t>
            </w:r>
          </w:p>
        </w:tc>
        <w:tc>
          <w:tcPr>
            <w:tcW w:w="6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1,205,126</w:t>
            </w:r>
          </w:p>
        </w:tc>
        <w:tc>
          <w:tcPr>
            <w:tcW w:w="64" w:type="dxa"/>
            <w:tcBorders/>
            <w:shd w:fill="CCEEFF" w:val="clear"/>
            <w:vAlign w:val="bottom"/>
          </w:tcPr>
          <w:p>
            <w:pPr>
              <w:pStyle w:val="TableContents"/>
              <w:bidi w:val="0"/>
              <w:spacing w:before="0" w:after="283"/>
              <w:jc w:val="left"/>
              <w:rPr/>
            </w:pPr>
            <w:r>
              <w:rPr/>
              <w:t> </w:t>
            </w:r>
          </w:p>
        </w:tc>
      </w:tr>
      <w:tr>
        <w:trPr/>
        <w:tc>
          <w:tcPr>
            <w:tcW w:w="4091"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09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47"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9,336,425</w:t>
            </w:r>
          </w:p>
        </w:tc>
        <w:tc>
          <w:tcPr>
            <w:tcW w:w="6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9,148,457</w:t>
            </w:r>
          </w:p>
        </w:tc>
        <w:tc>
          <w:tcPr>
            <w:tcW w:w="64" w:type="dxa"/>
            <w:tcBorders/>
            <w:vAlign w:val="bottom"/>
          </w:tcPr>
          <w:p>
            <w:pPr>
              <w:pStyle w:val="TableContents"/>
              <w:bidi w:val="0"/>
              <w:spacing w:before="0" w:after="283"/>
              <w:jc w:val="left"/>
              <w:rPr/>
            </w:pPr>
            <w:r>
              <w:rPr/>
              <w:t> </w:t>
            </w:r>
          </w:p>
        </w:tc>
      </w:tr>
      <w:tr>
        <w:trPr/>
        <w:tc>
          <w:tcPr>
            <w:tcW w:w="4091"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b/>
          <w:sz w:val="20"/>
        </w:rPr>
        <w:t xml:space="preserve">NOTE 17 </w:t>
      </w:r>
      <w:r>
        <w:rPr>
          <w:rFonts w:ascii="Times New Roman" w:hAnsi="Times New Roman"/>
          <w:sz w:val="20"/>
        </w:rPr>
        <w:t xml:space="preserve">– </w:t>
      </w:r>
      <w:r>
        <w:rPr>
          <w:rFonts w:ascii="Times New Roman" w:hAnsi="Times New Roman"/>
          <w:b/>
          <w:sz w:val="20"/>
        </w:rPr>
        <w:t>Segment Reporting and Geographic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two reportable segments: Small Business Acquisitions and Real Estate. The chief operating decision maker (“CODM”) is the Company’s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Small Business Acquisitions includes all of the Operating Subsidiaries owned by the Company. The Company’s CODM regularly reviews Operating Subsidiary performance in the aggregate for the purpose of making operating decisions, allocating resources, and evaluating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Real Estate includes land and buildings that are owned by the Company. These assets are owned by the Company and leased to Operating Subsidiaries on an intercompany basis. Rent payments that are paid to the Company are eliminated in consolidation. The CODM regularly reviews the profitability of the Real Estate operating segment. The Company sold substantially all of its Real Estate segment during the year ended December 31, 2025 in connection with the Sale Leaseback. See NOTE 2. </w:t>
      </w:r>
    </w:p>
    <w:p>
      <w:pPr>
        <w:pStyle w:val="TextBody"/>
        <w:bidi w:val="0"/>
        <w:spacing w:before="240" w:after="0"/>
        <w:jc w:val="left"/>
        <w:rPr>
          <w:rFonts w:ascii="Times New Roman" w:hAnsi="Times New Roman"/>
          <w:sz w:val="20"/>
        </w:rPr>
      </w:pPr>
      <w:r>
        <w:rPr>
          <w:rFonts w:ascii="Times New Roman" w:hAnsi="Times New Roman"/>
          <w:sz w:val="20"/>
        </w:rPr>
        <w:t xml:space="preserve">The CODM also regularly reviews the performance of other products and services that the Company offers to Operating Subsidiaries. These products primarily consist of the Company’s self-funded health insurance and business insurance programs that certain Operating Subsidiaries utilize. The insurance premiums that are paid to the Company by Operating Subsidiaries are eliminated in consolidation. None of the financial products that are regularly reviewed by the CODM meet the quantitative criteria to be disclosed as a reportable segment. </w:t>
      </w:r>
    </w:p>
    <w:p>
      <w:pPr>
        <w:pStyle w:val="TextBody"/>
        <w:bidi w:val="0"/>
        <w:spacing w:before="240" w:after="0"/>
        <w:jc w:val="left"/>
        <w:rPr>
          <w:rFonts w:ascii="Times New Roman" w:hAnsi="Times New Roman"/>
          <w:sz w:val="20"/>
        </w:rPr>
      </w:pPr>
      <w:r>
        <w:rPr>
          <w:rFonts w:ascii="Times New Roman" w:hAnsi="Times New Roman"/>
          <w:sz w:val="20"/>
        </w:rPr>
        <w:t xml:space="preserve">The CODM measures and evaluates segment performance and allocates resources based on segment earnings before interest, taxes, depreciation, and amortization (“EBITDA”). Segment EBITDA includes revenues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external customers and revenues and associated expenses from transactions with other operating segments of the Company. Segment expense categories include Cost of Revenue (excluding depreciation), Selling, General, and Administrative Expenses, and other non-operating (income) expense. </w:t>
      </w:r>
    </w:p>
    <w:p>
      <w:pPr>
        <w:pStyle w:val="TextBody"/>
        <w:bidi w:val="0"/>
        <w:spacing w:before="240" w:after="0"/>
        <w:jc w:val="left"/>
        <w:rPr>
          <w:rFonts w:ascii="Times New Roman" w:hAnsi="Times New Roman"/>
          <w:sz w:val="20"/>
        </w:rPr>
      </w:pPr>
      <w:r>
        <w:rPr>
          <w:rFonts w:ascii="Times New Roman" w:hAnsi="Times New Roman"/>
          <w:sz w:val="20"/>
        </w:rPr>
        <w:t xml:space="preserve">The CODM is not regularly provided with segment assets or segment expenditures for long-lived assets, as these metrics are not used to assess segment performance. The accounting policies of the Small Business Acquisitions reportable segment are the same as those described in NOTE 2.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784"/>
        <w:gridCol w:w="314"/>
        <w:gridCol w:w="197"/>
        <w:gridCol w:w="1151"/>
        <w:gridCol w:w="184"/>
        <w:gridCol w:w="327"/>
        <w:gridCol w:w="68"/>
        <w:gridCol w:w="689"/>
        <w:gridCol w:w="68"/>
        <w:gridCol w:w="327"/>
        <w:gridCol w:w="171"/>
        <w:gridCol w:w="947"/>
        <w:gridCol w:w="161"/>
      </w:tblGrid>
      <w:tr>
        <w:trPr/>
        <w:tc>
          <w:tcPr>
            <w:tcW w:w="4784"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84"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4129" w:type="dxa"/>
            <w:gridSpan w:val="10"/>
            <w:tcBorders>
              <w:bottom w:val="single" w:sz="8" w:space="0" w:color="000000"/>
            </w:tcBorders>
            <w:tcMar>
              <w:bottom w:w="28" w:type="dxa"/>
            </w:tcMar>
            <w:vAlign w:val="bottom"/>
          </w:tcPr>
          <w:p>
            <w:pPr>
              <w:pStyle w:val="TableContents"/>
              <w:bidi w:val="0"/>
              <w:spacing w:before="0" w:after="283"/>
              <w:jc w:val="center"/>
              <w:rPr/>
            </w:pPr>
            <w:r>
              <w:rPr>
                <w:b/>
              </w:rPr>
              <w:t>Year Ended December 31, 2025 (</w:t>
            </w:r>
            <w:r>
              <w:rPr>
                <w:i/>
              </w:rPr>
              <w:t>in 000s</w:t>
            </w:r>
            <w:r>
              <w:rPr>
                <w:b/>
              </w:rPr>
              <w:t>)</w:t>
            </w:r>
          </w:p>
        </w:tc>
        <w:tc>
          <w:tcPr>
            <w:tcW w:w="161" w:type="dxa"/>
            <w:tcBorders/>
            <w:vAlign w:val="bottom"/>
          </w:tcPr>
          <w:p>
            <w:pPr>
              <w:pStyle w:val="TableContents"/>
              <w:bidi w:val="0"/>
              <w:spacing w:before="0" w:after="283"/>
              <w:jc w:val="left"/>
              <w:rPr/>
            </w:pPr>
            <w:r>
              <w:rPr/>
              <w:t> </w:t>
            </w:r>
          </w:p>
        </w:tc>
      </w:tr>
      <w:tr>
        <w:trPr/>
        <w:tc>
          <w:tcPr>
            <w:tcW w:w="4784"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348" w:type="dxa"/>
            <w:gridSpan w:val="2"/>
            <w:tcBorders>
              <w:bottom w:val="single" w:sz="8" w:space="0" w:color="000000"/>
            </w:tcBorders>
            <w:tcMar>
              <w:bottom w:w="28" w:type="dxa"/>
            </w:tcMar>
            <w:vAlign w:val="bottom"/>
          </w:tcPr>
          <w:p>
            <w:pPr>
              <w:pStyle w:val="TableContents"/>
              <w:bidi w:val="0"/>
              <w:spacing w:before="0" w:after="283"/>
              <w:jc w:val="center"/>
              <w:rPr/>
            </w:pPr>
            <w:r>
              <w:rPr/>
              <w:t>Small</w:t>
              <w:br/>
              <w:t>Business</w:t>
              <w:br/>
              <w:t> Acquisitions </w:t>
            </w:r>
          </w:p>
        </w:tc>
        <w:tc>
          <w:tcPr>
            <w:tcW w:w="184"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bottom"/>
          </w:tcPr>
          <w:p>
            <w:pPr>
              <w:pStyle w:val="TableContents"/>
              <w:bidi w:val="0"/>
              <w:spacing w:before="0" w:after="283"/>
              <w:jc w:val="center"/>
              <w:rPr/>
            </w:pPr>
            <w:r>
              <w:rPr/>
              <w:t>Real</w:t>
              <w:br/>
              <w:t> Estate </w:t>
            </w:r>
          </w:p>
        </w:tc>
        <w:tc>
          <w:tcPr>
            <w:tcW w:w="6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pPr>
            <w:r>
              <w:rPr/>
              <w:t>Total</w:t>
            </w:r>
          </w:p>
        </w:tc>
        <w:tc>
          <w:tcPr>
            <w:tcW w:w="161" w:type="dxa"/>
            <w:tcBorders/>
            <w:vAlign w:val="bottom"/>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External Customers</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471,567</w:t>
            </w:r>
          </w:p>
        </w:tc>
        <w:tc>
          <w:tcPr>
            <w:tcW w:w="184"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947" w:type="dxa"/>
            <w:tcBorders/>
            <w:shd w:fill="CCEEFF" w:val="clear"/>
            <w:vAlign w:val="bottom"/>
          </w:tcPr>
          <w:p>
            <w:pPr>
              <w:pStyle w:val="TableContents"/>
              <w:bidi w:val="0"/>
              <w:spacing w:before="0" w:after="283"/>
              <w:jc w:val="right"/>
              <w:rPr/>
            </w:pPr>
            <w:r>
              <w:rPr/>
              <w:t>471,567</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Other Operating Segments</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2,013</w:t>
            </w:r>
          </w:p>
        </w:tc>
        <w:tc>
          <w:tcPr>
            <w:tcW w:w="6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2,013</w:t>
            </w:r>
          </w:p>
        </w:tc>
        <w:tc>
          <w:tcPr>
            <w:tcW w:w="161" w:type="dxa"/>
            <w:tcBorders/>
            <w:vAlign w:val="bottom"/>
          </w:tcPr>
          <w:p>
            <w:pPr>
              <w:pStyle w:val="TableContents"/>
              <w:bidi w:val="0"/>
              <w:spacing w:before="0" w:after="283"/>
              <w:jc w:val="left"/>
              <w:rPr/>
            </w:pPr>
            <w:r>
              <w:rPr/>
              <w:t> </w:t>
            </w:r>
          </w:p>
        </w:tc>
      </w:tr>
      <w:tr>
        <w:trPr/>
        <w:tc>
          <w:tcPr>
            <w:tcW w:w="4784"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84" w:type="dxa"/>
            <w:tcBorders/>
            <w:vAlign w:val="center"/>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Segment Revenue</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471,567</w:t>
            </w:r>
          </w:p>
        </w:tc>
        <w:tc>
          <w:tcPr>
            <w:tcW w:w="184"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2,013</w:t>
            </w:r>
          </w:p>
        </w:tc>
        <w:tc>
          <w:tcPr>
            <w:tcW w:w="6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473,580</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84" w:type="dxa"/>
            <w:tcBorders/>
            <w:vAlign w:val="center"/>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i/>
                <w:sz w:val="20"/>
              </w:rPr>
            </w:pPr>
            <w:r>
              <w:rPr>
                <w:rFonts w:ascii="Times New Roman" w:hAnsi="Times New Roman"/>
                <w:i/>
                <w:sz w:val="20"/>
              </w:rPr>
              <w:t>Reconciliation of Revenues</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94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Intercompany Eliminations</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(2,013</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Total Consolidated Revenue</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471,567</w:t>
            </w:r>
          </w:p>
        </w:tc>
        <w:tc>
          <w:tcPr>
            <w:tcW w:w="161" w:type="dxa"/>
            <w:tcBorders/>
            <w:vAlign w:val="bottom"/>
          </w:tcPr>
          <w:p>
            <w:pPr>
              <w:pStyle w:val="TableContents"/>
              <w:bidi w:val="0"/>
              <w:spacing w:before="0" w:after="283"/>
              <w:jc w:val="left"/>
              <w:rPr/>
            </w:pPr>
            <w:r>
              <w:rPr/>
              <w:t> </w:t>
            </w:r>
          </w:p>
        </w:tc>
      </w:tr>
      <w:tr>
        <w:trPr/>
        <w:tc>
          <w:tcPr>
            <w:tcW w:w="4784"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947"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 Excluding Depreciation</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287,648</w:t>
            </w:r>
          </w:p>
        </w:tc>
        <w:tc>
          <w:tcPr>
            <w:tcW w:w="184"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287,648</w:t>
            </w:r>
          </w:p>
        </w:tc>
        <w:tc>
          <w:tcPr>
            <w:tcW w:w="161" w:type="dxa"/>
            <w:tcBorders/>
            <w:vAlign w:val="bottom"/>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140,838</w:t>
            </w:r>
          </w:p>
        </w:tc>
        <w:tc>
          <w:tcPr>
            <w:tcW w:w="184"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16</w:t>
            </w:r>
          </w:p>
        </w:tc>
        <w:tc>
          <w:tcPr>
            <w:tcW w:w="6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140,854</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Income</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(1,055</w:t>
            </w:r>
          </w:p>
        </w:tc>
        <w:tc>
          <w:tcPr>
            <w:tcW w:w="184"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(1,055</w:t>
            </w:r>
          </w:p>
        </w:tc>
        <w:tc>
          <w:tcPr>
            <w:tcW w:w="161" w:type="dxa"/>
            <w:tcBorders/>
            <w:vAlign w:val="bottom"/>
          </w:tcPr>
          <w:p>
            <w:pPr>
              <w:pStyle w:val="TableContents"/>
              <w:bidi w:val="0"/>
              <w:spacing w:before="0" w:after="283"/>
              <w:jc w:val="left"/>
              <w:rPr/>
            </w:pPr>
            <w:r>
              <w:rPr/>
              <w:t>) </w:t>
            </w:r>
          </w:p>
        </w:tc>
      </w:tr>
      <w:tr>
        <w:trPr/>
        <w:tc>
          <w:tcPr>
            <w:tcW w:w="4784"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84" w:type="dxa"/>
            <w:tcBorders/>
            <w:vAlign w:val="center"/>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Segment EBITDA</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44,137</w:t>
            </w:r>
          </w:p>
        </w:tc>
        <w:tc>
          <w:tcPr>
            <w:tcW w:w="184"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1,997</w:t>
            </w:r>
          </w:p>
        </w:tc>
        <w:tc>
          <w:tcPr>
            <w:tcW w:w="6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46,133</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94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(5,673</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(5,907</w:t>
            </w:r>
          </w:p>
        </w:tc>
        <w:tc>
          <w:tcPr>
            <w:tcW w:w="161" w:type="dxa"/>
            <w:tcBorders/>
            <w:vAlign w:val="bottom"/>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(19,412</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(3,818</w:t>
            </w:r>
          </w:p>
        </w:tc>
        <w:tc>
          <w:tcPr>
            <w:tcW w:w="161" w:type="dxa"/>
            <w:tcBorders/>
            <w:vAlign w:val="bottom"/>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Disposition of Assets</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5,418</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(31,191</w:t>
            </w:r>
          </w:p>
        </w:tc>
        <w:tc>
          <w:tcPr>
            <w:tcW w:w="161" w:type="dxa"/>
            <w:tcBorders/>
            <w:vAlign w:val="bottom"/>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(4,642</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3,956</w:t>
            </w:r>
          </w:p>
        </w:tc>
        <w:tc>
          <w:tcPr>
            <w:tcW w:w="161" w:type="dxa"/>
            <w:tcBorders/>
            <w:vAlign w:val="bottom"/>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(1,326</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All Other Operating Segments</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(1,777</w:t>
            </w:r>
          </w:p>
        </w:tc>
        <w:tc>
          <w:tcPr>
            <w:tcW w:w="161" w:type="dxa"/>
            <w:tcBorders/>
            <w:vAlign w:val="bottom"/>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Other Expenses, and Eliminations</w:t>
            </w:r>
          </w:p>
        </w:tc>
        <w:tc>
          <w:tcPr>
            <w:tcW w:w="3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(47,557</w:t>
            </w:r>
          </w:p>
        </w:tc>
        <w:tc>
          <w:tcPr>
            <w:tcW w:w="161" w:type="dxa"/>
            <w:tcBorders/>
            <w:shd w:fill="CCEEFF" w:val="clear"/>
            <w:vAlign w:val="bottom"/>
          </w:tcPr>
          <w:p>
            <w:pPr>
              <w:pStyle w:val="TableContents"/>
              <w:bidi w:val="0"/>
              <w:spacing w:before="0" w:after="283"/>
              <w:jc w:val="left"/>
              <w:rPr/>
            </w:pPr>
            <w:r>
              <w:rPr/>
              <w:t>) </w:t>
            </w:r>
          </w:p>
        </w:tc>
      </w:tr>
      <w:tr>
        <w:trPr/>
        <w:tc>
          <w:tcPr>
            <w:tcW w:w="4784"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947" w:type="dxa"/>
            <w:tcBorders/>
            <w:vAlign w:val="bottom"/>
          </w:tcPr>
          <w:p>
            <w:pPr>
              <w:pStyle w:val="TableContents"/>
              <w:bidi w:val="0"/>
              <w:spacing w:before="0" w:after="283"/>
              <w:jc w:val="right"/>
              <w:rPr/>
            </w:pPr>
            <w:r>
              <w:rPr/>
              <w:t>(65,795</w:t>
            </w:r>
          </w:p>
        </w:tc>
        <w:tc>
          <w:tcPr>
            <w:tcW w:w="161" w:type="dxa"/>
            <w:tcBorders/>
            <w:vAlign w:val="bottom"/>
          </w:tcPr>
          <w:p>
            <w:pPr>
              <w:pStyle w:val="TableContents"/>
              <w:bidi w:val="0"/>
              <w:spacing w:before="0" w:after="283"/>
              <w:jc w:val="left"/>
              <w:rPr/>
            </w:pPr>
            <w:r>
              <w:rPr/>
              <w:t>) </w:t>
            </w:r>
          </w:p>
        </w:tc>
      </w:tr>
      <w:tr>
        <w:trPr/>
        <w:tc>
          <w:tcPr>
            <w:tcW w:w="4784"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570"/>
        <w:gridCol w:w="320"/>
        <w:gridCol w:w="189"/>
        <w:gridCol w:w="1035"/>
        <w:gridCol w:w="177"/>
        <w:gridCol w:w="535"/>
        <w:gridCol w:w="63"/>
        <w:gridCol w:w="665"/>
        <w:gridCol w:w="63"/>
        <w:gridCol w:w="535"/>
        <w:gridCol w:w="164"/>
        <w:gridCol w:w="911"/>
        <w:gridCol w:w="161"/>
      </w:tblGrid>
      <w:tr>
        <w:trPr/>
        <w:tc>
          <w:tcPr>
            <w:tcW w:w="457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7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4337" w:type="dxa"/>
            <w:gridSpan w:val="10"/>
            <w:tcBorders>
              <w:bottom w:val="single" w:sz="8" w:space="0" w:color="000000"/>
            </w:tcBorders>
            <w:tcMar>
              <w:bottom w:w="28" w:type="dxa"/>
            </w:tcMar>
            <w:vAlign w:val="bottom"/>
          </w:tcPr>
          <w:p>
            <w:pPr>
              <w:pStyle w:val="TableContents"/>
              <w:bidi w:val="0"/>
              <w:spacing w:before="0" w:after="283"/>
              <w:jc w:val="center"/>
              <w:rPr/>
            </w:pPr>
            <w:r>
              <w:rPr>
                <w:b/>
              </w:rPr>
              <w:t>Year Ended December 31, 2024 (</w:t>
            </w:r>
            <w:r>
              <w:rPr>
                <w:i/>
              </w:rPr>
              <w:t>in 000s</w:t>
            </w:r>
            <w:r>
              <w:rPr>
                <w:b/>
              </w:rPr>
              <w:t>)</w:t>
            </w:r>
          </w:p>
        </w:tc>
        <w:tc>
          <w:tcPr>
            <w:tcW w:w="161" w:type="dxa"/>
            <w:tcBorders/>
            <w:vAlign w:val="bottom"/>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pPr>
            <w:r>
              <w:rPr/>
              <w:t>Small</w:t>
              <w:br/>
              <w:t>Business</w:t>
              <w:br/>
              <w:t>Acquisitions</w:t>
            </w:r>
          </w:p>
        </w:tc>
        <w:tc>
          <w:tcPr>
            <w:tcW w:w="177"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pPr>
            <w:r>
              <w:rPr/>
              <w:t>Real</w:t>
              <w:br/>
              <w:t>Estate</w:t>
            </w:r>
          </w:p>
        </w:tc>
        <w:tc>
          <w:tcPr>
            <w:tcW w:w="63"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pPr>
            <w:r>
              <w:rPr/>
              <w:t>Total</w:t>
            </w:r>
          </w:p>
        </w:tc>
        <w:tc>
          <w:tcPr>
            <w:tcW w:w="161" w:type="dxa"/>
            <w:tcBorders/>
            <w:vAlign w:val="bottom"/>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External Customers</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035" w:type="dxa"/>
            <w:tcBorders/>
            <w:shd w:fill="CCEEFF" w:val="clear"/>
            <w:vAlign w:val="bottom"/>
          </w:tcPr>
          <w:p>
            <w:pPr>
              <w:pStyle w:val="TableContents"/>
              <w:bidi w:val="0"/>
              <w:spacing w:before="0" w:after="283"/>
              <w:jc w:val="right"/>
              <w:rPr/>
            </w:pPr>
            <w:r>
              <w:rPr/>
              <w:t>398,641</w:t>
            </w:r>
          </w:p>
        </w:tc>
        <w:tc>
          <w:tcPr>
            <w:tcW w:w="177"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911" w:type="dxa"/>
            <w:tcBorders/>
            <w:shd w:fill="CCEEFF" w:val="clear"/>
            <w:vAlign w:val="bottom"/>
          </w:tcPr>
          <w:p>
            <w:pPr>
              <w:pStyle w:val="TableContents"/>
              <w:bidi w:val="0"/>
              <w:spacing w:before="0" w:after="283"/>
              <w:jc w:val="right"/>
              <w:rPr/>
            </w:pPr>
            <w:r>
              <w:rPr/>
              <w:t>398,641</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Other Operating Segments</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2,759</w:t>
            </w:r>
          </w:p>
        </w:tc>
        <w:tc>
          <w:tcPr>
            <w:tcW w:w="63"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2,759</w:t>
            </w:r>
          </w:p>
        </w:tc>
        <w:tc>
          <w:tcPr>
            <w:tcW w:w="161" w:type="dxa"/>
            <w:tcBorders/>
            <w:vAlign w:val="bottom"/>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77" w:type="dxa"/>
            <w:tcBorders/>
            <w:vAlign w:val="center"/>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66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Segment Revenue</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398,641</w:t>
            </w:r>
          </w:p>
        </w:tc>
        <w:tc>
          <w:tcPr>
            <w:tcW w:w="177"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2,759</w:t>
            </w:r>
          </w:p>
        </w:tc>
        <w:tc>
          <w:tcPr>
            <w:tcW w:w="63"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401,400</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77" w:type="dxa"/>
            <w:tcBorders/>
            <w:vAlign w:val="center"/>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66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Times New Roman" w:hAnsi="Times New Roman"/>
                <w:i/>
                <w:sz w:val="20"/>
              </w:rPr>
            </w:pPr>
            <w:r>
              <w:rPr>
                <w:rFonts w:ascii="Times New Roman" w:hAnsi="Times New Roman"/>
                <w:i/>
                <w:sz w:val="20"/>
              </w:rPr>
              <w:t>Reconciliation of Revenues</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91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Intercompany Eliminations</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(2,759</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Times New Roman" w:hAnsi="Times New Roman"/>
                <w:sz w:val="20"/>
              </w:rPr>
            </w:pPr>
            <w:r>
              <w:rPr>
                <w:rFonts w:ascii="Times New Roman" w:hAnsi="Times New Roman"/>
                <w:sz w:val="20"/>
              </w:rPr>
              <w:t>Total Consolidated Revenue</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398,641</w:t>
            </w:r>
          </w:p>
        </w:tc>
        <w:tc>
          <w:tcPr>
            <w:tcW w:w="161" w:type="dxa"/>
            <w:tcBorders/>
            <w:vAlign w:val="bottom"/>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 Excluding Depreciation</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258,587</w:t>
            </w:r>
          </w:p>
        </w:tc>
        <w:tc>
          <w:tcPr>
            <w:tcW w:w="177"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258,587</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121,315</w:t>
            </w:r>
          </w:p>
        </w:tc>
        <w:tc>
          <w:tcPr>
            <w:tcW w:w="177"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121,332</w:t>
            </w:r>
          </w:p>
        </w:tc>
        <w:tc>
          <w:tcPr>
            <w:tcW w:w="161" w:type="dxa"/>
            <w:tcBorders/>
            <w:vAlign w:val="bottom"/>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Income</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(661</w:t>
            </w:r>
          </w:p>
        </w:tc>
        <w:tc>
          <w:tcPr>
            <w:tcW w:w="177"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(661</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77" w:type="dxa"/>
            <w:tcBorders/>
            <w:vAlign w:val="center"/>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66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Times New Roman" w:hAnsi="Times New Roman"/>
                <w:sz w:val="20"/>
              </w:rPr>
            </w:pPr>
            <w:r>
              <w:rPr>
                <w:rFonts w:ascii="Times New Roman" w:hAnsi="Times New Roman"/>
                <w:sz w:val="20"/>
              </w:rPr>
              <w:t>Segment EBITDA</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19,399</w:t>
            </w:r>
          </w:p>
        </w:tc>
        <w:tc>
          <w:tcPr>
            <w:tcW w:w="177"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2,742</w:t>
            </w:r>
          </w:p>
        </w:tc>
        <w:tc>
          <w:tcPr>
            <w:tcW w:w="63"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22,142</w:t>
            </w:r>
          </w:p>
        </w:tc>
        <w:tc>
          <w:tcPr>
            <w:tcW w:w="161" w:type="dxa"/>
            <w:tcBorders/>
            <w:vAlign w:val="bottom"/>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91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57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(5,670</w:t>
            </w:r>
          </w:p>
        </w:tc>
        <w:tc>
          <w:tcPr>
            <w:tcW w:w="161" w:type="dxa"/>
            <w:tcBorders/>
            <w:vAlign w:val="bottom"/>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(5,635</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(15,645</w:t>
            </w:r>
          </w:p>
        </w:tc>
        <w:tc>
          <w:tcPr>
            <w:tcW w:w="161" w:type="dxa"/>
            <w:tcBorders/>
            <w:vAlign w:val="bottom"/>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(4,293</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Times New Roman" w:hAnsi="Times New Roman"/>
                <w:sz w:val="20"/>
              </w:rPr>
            </w:pPr>
            <w:r>
              <w:rPr>
                <w:rFonts w:ascii="Times New Roman" w:hAnsi="Times New Roman"/>
                <w:sz w:val="20"/>
              </w:rPr>
              <w:t>Gain on Disposition of Assets</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(2,661</w:t>
            </w:r>
          </w:p>
        </w:tc>
        <w:tc>
          <w:tcPr>
            <w:tcW w:w="161" w:type="dxa"/>
            <w:tcBorders/>
            <w:vAlign w:val="bottom"/>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(27,766</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702</w:t>
            </w:r>
          </w:p>
        </w:tc>
        <w:tc>
          <w:tcPr>
            <w:tcW w:w="161" w:type="dxa"/>
            <w:tcBorders/>
            <w:vAlign w:val="bottom"/>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(91</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Times New Roman" w:hAnsi="Times New Roman"/>
                <w:sz w:val="20"/>
              </w:rPr>
            </w:pPr>
            <w:r>
              <w:rPr>
                <w:rFonts w:ascii="Times New Roman" w:hAnsi="Times New Roman"/>
                <w:sz w:val="20"/>
              </w:rPr>
              <w:t>All Other Operating Segments</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212</w:t>
            </w:r>
          </w:p>
        </w:tc>
        <w:tc>
          <w:tcPr>
            <w:tcW w:w="161" w:type="dxa"/>
            <w:tcBorders/>
            <w:vAlign w:val="bottom"/>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Other Expenses, and Eliminations</w:t>
            </w:r>
          </w:p>
        </w:tc>
        <w:tc>
          <w:tcPr>
            <w:tcW w:w="32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(44,251</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911" w:type="dxa"/>
            <w:tcBorders/>
            <w:vAlign w:val="bottom"/>
          </w:tcPr>
          <w:p>
            <w:pPr>
              <w:pStyle w:val="TableContents"/>
              <w:bidi w:val="0"/>
              <w:spacing w:before="0" w:after="283"/>
              <w:jc w:val="right"/>
              <w:rPr/>
            </w:pPr>
            <w:r>
              <w:rPr/>
              <w:t>(82,957</w:t>
            </w:r>
          </w:p>
        </w:tc>
        <w:tc>
          <w:tcPr>
            <w:tcW w:w="161" w:type="dxa"/>
            <w:tcBorders/>
            <w:vAlign w:val="bottom"/>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Geographic Information </w:t>
      </w:r>
    </w:p>
    <w:p>
      <w:pPr>
        <w:pStyle w:val="TextBody"/>
        <w:bidi w:val="0"/>
        <w:spacing w:before="120" w:after="0"/>
        <w:jc w:val="left"/>
        <w:rPr>
          <w:rFonts w:ascii="Times New Roman" w:hAnsi="Times New Roman"/>
          <w:sz w:val="20"/>
        </w:rPr>
      </w:pPr>
      <w:r>
        <w:rPr>
          <w:rFonts w:ascii="Times New Roman" w:hAnsi="Times New Roman"/>
          <w:sz w:val="20"/>
        </w:rPr>
        <w:t xml:space="preserve">Revenue is attributed to a geographic region based on the location of the customer taking possession of the products or services. Long-lived assets are attributed to the geographic region based on the physical location of the assets. </w:t>
      </w:r>
    </w:p>
    <w:p>
      <w:pPr>
        <w:pStyle w:val="TextBody"/>
        <w:bidi w:val="0"/>
        <w:spacing w:before="240" w:after="0"/>
        <w:jc w:val="left"/>
        <w:rPr>
          <w:rFonts w:ascii="Times New Roman" w:hAnsi="Times New Roman"/>
          <w:sz w:val="20"/>
        </w:rPr>
      </w:pPr>
      <w:r>
        <w:rPr>
          <w:rFonts w:ascii="Times New Roman" w:hAnsi="Times New Roman"/>
          <w:sz w:val="20"/>
        </w:rPr>
        <w:t xml:space="preserve">A summary of the Company’s Revenue and Long-lived assets as of the years ended December 31, 2025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81"/>
        <w:gridCol w:w="450"/>
        <w:gridCol w:w="210"/>
        <w:gridCol w:w="1264"/>
        <w:gridCol w:w="60"/>
        <w:gridCol w:w="450"/>
        <w:gridCol w:w="210"/>
        <w:gridCol w:w="1264"/>
        <w:gridCol w:w="66"/>
      </w:tblGrid>
      <w:tr>
        <w:trPr/>
        <w:tc>
          <w:tcPr>
            <w:tcW w:w="3781" w:type="dxa"/>
            <w:tcBorders/>
            <w:vAlign w:val="center"/>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781"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Long-lived</w:t>
              <w:br/>
              <w:t>Assets</w:t>
            </w:r>
          </w:p>
        </w:tc>
        <w:tc>
          <w:tcPr>
            <w:tcW w:w="66" w:type="dxa"/>
            <w:tcBorders/>
            <w:vAlign w:val="bottom"/>
          </w:tcPr>
          <w:p>
            <w:pPr>
              <w:pStyle w:val="TableContents"/>
              <w:bidi w:val="0"/>
              <w:spacing w:before="0" w:after="283"/>
              <w:jc w:val="left"/>
              <w:rPr/>
            </w:pPr>
            <w:r>
              <w:rPr/>
              <w:t> </w:t>
            </w:r>
          </w:p>
        </w:tc>
      </w:tr>
      <w:tr>
        <w:trPr/>
        <w:tc>
          <w:tcPr>
            <w:tcW w:w="3781"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6" w:type="dxa"/>
            <w:tcBorders/>
            <w:vAlign w:val="bottom"/>
          </w:tcPr>
          <w:p>
            <w:pPr>
              <w:pStyle w:val="TableContents"/>
              <w:bidi w:val="0"/>
              <w:spacing w:before="0" w:after="283"/>
              <w:jc w:val="left"/>
              <w:rPr/>
            </w:pPr>
            <w:r>
              <w:rPr/>
              <w:t> </w:t>
            </w:r>
          </w:p>
        </w:tc>
      </w:tr>
      <w:tr>
        <w:trPr/>
        <w:tc>
          <w:tcPr>
            <w:tcW w:w="3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45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64" w:type="dxa"/>
            <w:tcBorders/>
            <w:shd w:fill="CCEEFF" w:val="clear"/>
            <w:vAlign w:val="bottom"/>
          </w:tcPr>
          <w:p>
            <w:pPr>
              <w:pStyle w:val="TableContents"/>
              <w:bidi w:val="0"/>
              <w:spacing w:before="0" w:after="283"/>
              <w:jc w:val="right"/>
              <w:rPr/>
            </w:pPr>
            <w:r>
              <w:rPr/>
              <w:t>449,737</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64" w:type="dxa"/>
            <w:tcBorders/>
            <w:shd w:fill="CCEEFF" w:val="clear"/>
            <w:vAlign w:val="bottom"/>
          </w:tcPr>
          <w:p>
            <w:pPr>
              <w:pStyle w:val="TableContents"/>
              <w:bidi w:val="0"/>
              <w:spacing w:before="0" w:after="283"/>
              <w:jc w:val="right"/>
              <w:rPr/>
            </w:pPr>
            <w:r>
              <w:rPr/>
              <w:t>107,239</w:t>
            </w:r>
          </w:p>
        </w:tc>
        <w:tc>
          <w:tcPr>
            <w:tcW w:w="66" w:type="dxa"/>
            <w:tcBorders/>
            <w:shd w:fill="CCEEFF" w:val="clear"/>
            <w:vAlign w:val="bottom"/>
          </w:tcPr>
          <w:p>
            <w:pPr>
              <w:pStyle w:val="TableContents"/>
              <w:bidi w:val="0"/>
              <w:spacing w:before="0" w:after="283"/>
              <w:jc w:val="left"/>
              <w:rPr/>
            </w:pPr>
            <w:r>
              <w:rPr/>
              <w:t> </w:t>
            </w:r>
          </w:p>
        </w:tc>
      </w:tr>
      <w:tr>
        <w:trPr/>
        <w:tc>
          <w:tcPr>
            <w:tcW w:w="3781"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45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21,830</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16,389</w:t>
            </w:r>
          </w:p>
        </w:tc>
        <w:tc>
          <w:tcPr>
            <w:tcW w:w="66" w:type="dxa"/>
            <w:tcBorders/>
            <w:vAlign w:val="bottom"/>
          </w:tcPr>
          <w:p>
            <w:pPr>
              <w:pStyle w:val="TableContents"/>
              <w:bidi w:val="0"/>
              <w:spacing w:before="0" w:after="283"/>
              <w:jc w:val="left"/>
              <w:rPr/>
            </w:pPr>
            <w:r>
              <w:rPr/>
              <w:t> </w:t>
            </w:r>
          </w:p>
        </w:tc>
      </w:tr>
      <w:tr>
        <w:trPr/>
        <w:tc>
          <w:tcPr>
            <w:tcW w:w="3781"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5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64" w:type="dxa"/>
            <w:tcBorders/>
            <w:shd w:fill="CCEEFF" w:val="clear"/>
            <w:vAlign w:val="bottom"/>
          </w:tcPr>
          <w:p>
            <w:pPr>
              <w:pStyle w:val="TableContents"/>
              <w:bidi w:val="0"/>
              <w:spacing w:before="0" w:after="283"/>
              <w:jc w:val="right"/>
              <w:rPr/>
            </w:pPr>
            <w:r>
              <w:rPr/>
              <w:t>471,567</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64" w:type="dxa"/>
            <w:tcBorders/>
            <w:shd w:fill="CCEEFF" w:val="clear"/>
            <w:vAlign w:val="bottom"/>
          </w:tcPr>
          <w:p>
            <w:pPr>
              <w:pStyle w:val="TableContents"/>
              <w:bidi w:val="0"/>
              <w:spacing w:before="0" w:after="283"/>
              <w:jc w:val="right"/>
              <w:rPr/>
            </w:pPr>
            <w:r>
              <w:rPr/>
              <w:t>123,628</w:t>
            </w:r>
          </w:p>
        </w:tc>
        <w:tc>
          <w:tcPr>
            <w:tcW w:w="66" w:type="dxa"/>
            <w:tcBorders/>
            <w:shd w:fill="CCEEFF" w:val="clear"/>
            <w:vAlign w:val="bottom"/>
          </w:tcPr>
          <w:p>
            <w:pPr>
              <w:pStyle w:val="TableContents"/>
              <w:bidi w:val="0"/>
              <w:spacing w:before="0" w:after="283"/>
              <w:jc w:val="left"/>
              <w:rPr/>
            </w:pPr>
            <w:r>
              <w:rPr/>
              <w:t> </w:t>
            </w:r>
          </w:p>
        </w:tc>
      </w:tr>
      <w:tr>
        <w:trPr/>
        <w:tc>
          <w:tcPr>
            <w:tcW w:w="3781"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Long-lived assets include Property, Plant, and Equipment, Net and Operating Lease Right of Use Assets, Net.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Teamshares Inc. </w:t>
      </w:r>
    </w:p>
    <w:p>
      <w:pPr>
        <w:pStyle w:val="TextBody"/>
        <w:bidi w:val="0"/>
        <w:spacing w:before="0" w:after="0"/>
        <w:jc w:val="center"/>
        <w:rPr>
          <w:rFonts w:ascii="Times New Roman" w:hAnsi="Times New Roman"/>
          <w:sz w:val="20"/>
        </w:rPr>
      </w:pPr>
      <w:r>
        <w:rPr>
          <w:rFonts w:ascii="Times New Roman" w:hAnsi="Times New Roman"/>
          <w:sz w:val="20"/>
        </w:rPr>
        <w:t xml:space="preserve">Notes to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December 31, 2025 and 2024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18 –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Certain executives of the Company own a direct and indirect minority interest in a customer of the Company. For the years ended December 31, 2025 and 2024, the revenue earned by the Company from this customer was immaterial.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2025, three executives of the Company lent $3.0 million in cash to the Company to repay a portion of the Former Owner Bridge Loan’s outstanding principal. The $3.0 million loan from the Company’s executives was subsequently converted to TDC Loans. These loans remained outstanding as of December 31, 2025. See NOTE 9.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counterparties to $6.0 million of TDC Loans include $5.5 million owed to four executives of the Company and $0.5 million owed to a member of the board of directors. See NOTE 9. </w:t>
      </w:r>
    </w:p>
    <w:p>
      <w:pPr>
        <w:pStyle w:val="TextBody"/>
        <w:bidi w:val="0"/>
        <w:spacing w:before="360" w:after="0"/>
        <w:jc w:val="left"/>
        <w:rPr>
          <w:rFonts w:ascii="Times New Roman" w:hAnsi="Times New Roman"/>
          <w:b/>
          <w:sz w:val="20"/>
        </w:rPr>
      </w:pPr>
      <w:r>
        <w:rPr>
          <w:rFonts w:ascii="Times New Roman" w:hAnsi="Times New Roman"/>
          <w:b/>
          <w:sz w:val="20"/>
        </w:rPr>
        <w:t xml:space="preserve">NOTE 19 – Subsequent Events </w:t>
      </w:r>
    </w:p>
    <w:p>
      <w:pPr>
        <w:pStyle w:val="TextBody"/>
        <w:bidi w:val="0"/>
        <w:spacing w:before="120" w:after="0"/>
        <w:jc w:val="left"/>
        <w:rPr>
          <w:rFonts w:ascii="Times New Roman" w:hAnsi="Times New Roman"/>
          <w:i/>
          <w:sz w:val="20"/>
        </w:rPr>
      </w:pPr>
      <w:r>
        <w:rPr>
          <w:rFonts w:ascii="Times New Roman" w:hAnsi="Times New Roman"/>
          <w:i/>
          <w:sz w:val="20"/>
        </w:rPr>
        <w:t xml:space="preserve">HBC Credit Facility Amendment </w:t>
      </w:r>
    </w:p>
    <w:p>
      <w:pPr>
        <w:pStyle w:val="TextBody"/>
        <w:bidi w:val="0"/>
        <w:spacing w:before="120" w:after="0"/>
        <w:jc w:val="left"/>
        <w:rPr>
          <w:rFonts w:ascii="Times New Roman" w:hAnsi="Times New Roman"/>
          <w:sz w:val="20"/>
        </w:rPr>
      </w:pPr>
      <w:r>
        <w:rPr>
          <w:rFonts w:ascii="Times New Roman" w:hAnsi="Times New Roman"/>
          <w:sz w:val="20"/>
        </w:rPr>
        <w:t xml:space="preserve">In March 2026, the Company and HBC amended the maturity date of the HBC credit facility to be the earliest of: i) December 23, 2026, 2) the date on which the SPAC Merger is consummated, 3) the date on which the Merger Agreement is terminated, or 4) unless a Registration Statement on Form S-4 in connection with the SPAC Merger has been declared effective, the date that is 30 days prior to the Outside Date. The Outside Date was not affected by this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12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estimated expenses to be borne by the registrant in connection with the issuance and distribution of the securities being registered hereby. All of such expenses are estimates, other than the filing fee payable to the SEC.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94"/>
        <w:gridCol w:w="463"/>
        <w:gridCol w:w="141"/>
        <w:gridCol w:w="879"/>
        <w:gridCol w:w="62"/>
      </w:tblGrid>
      <w:tr>
        <w:trPr/>
        <w:tc>
          <w:tcPr>
            <w:tcW w:w="5394"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6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5394"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6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w:t>
            </w:r>
          </w:p>
        </w:tc>
        <w:tc>
          <w:tcPr>
            <w:tcW w:w="62" w:type="dxa"/>
            <w:tcBorders/>
            <w:vAlign w:val="bottom"/>
          </w:tcPr>
          <w:p>
            <w:pPr>
              <w:pStyle w:val="TableContents"/>
              <w:bidi w:val="0"/>
              <w:spacing w:before="0" w:after="283"/>
              <w:jc w:val="left"/>
              <w:rPr/>
            </w:pPr>
            <w:r>
              <w:rPr/>
              <w:t> </w:t>
            </w:r>
          </w:p>
        </w:tc>
      </w:tr>
      <w:tr>
        <w:trPr/>
        <w:tc>
          <w:tcPr>
            <w:tcW w:w="5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6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w:t>
            </w:r>
          </w:p>
        </w:tc>
        <w:tc>
          <w:tcPr>
            <w:tcW w:w="62" w:type="dxa"/>
            <w:tcBorders/>
            <w:shd w:fill="CCEEFF" w:val="clear"/>
            <w:vAlign w:val="bottom"/>
          </w:tcPr>
          <w:p>
            <w:pPr>
              <w:pStyle w:val="TableContents"/>
              <w:bidi w:val="0"/>
              <w:spacing w:before="0" w:after="283"/>
              <w:jc w:val="left"/>
              <w:rPr/>
            </w:pPr>
            <w:r>
              <w:rPr/>
              <w:t> </w:t>
            </w:r>
          </w:p>
        </w:tc>
      </w:tr>
      <w:tr>
        <w:trPr/>
        <w:tc>
          <w:tcPr>
            <w:tcW w:w="5394" w:type="dxa"/>
            <w:tcBorders/>
          </w:tcPr>
          <w:p>
            <w:pPr>
              <w:pStyle w:val="TableContents"/>
              <w:bidi w:val="0"/>
              <w:spacing w:before="0" w:after="0"/>
              <w:jc w:val="left"/>
              <w:rPr>
                <w:rFonts w:ascii="Times New Roman" w:hAnsi="Times New Roman"/>
                <w:sz w:val="20"/>
              </w:rPr>
            </w:pPr>
            <w:r>
              <w:rPr>
                <w:rFonts w:ascii="Times New Roman" w:hAnsi="Times New Roman"/>
                <w:sz w:val="20"/>
              </w:rPr>
              <w:t>Financial printing and miscellaneous expenses</w:t>
            </w:r>
          </w:p>
        </w:tc>
        <w:tc>
          <w:tcPr>
            <w:tcW w:w="46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w:t>
            </w:r>
          </w:p>
        </w:tc>
        <w:tc>
          <w:tcPr>
            <w:tcW w:w="62" w:type="dxa"/>
            <w:tcBorders/>
            <w:vAlign w:val="bottom"/>
          </w:tcPr>
          <w:p>
            <w:pPr>
              <w:pStyle w:val="TableContents"/>
              <w:bidi w:val="0"/>
              <w:spacing w:before="0" w:after="283"/>
              <w:jc w:val="left"/>
              <w:rPr/>
            </w:pPr>
            <w:r>
              <w:rPr/>
              <w:t> </w:t>
            </w:r>
          </w:p>
        </w:tc>
      </w:tr>
      <w:tr>
        <w:trPr/>
        <w:tc>
          <w:tcPr>
            <w:tcW w:w="53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6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determined at this time.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 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Charter limits the liability of our directors to the fullest extent permitted by the DGCL, and our by-laws provide that we will indemnify them to the fullest extent permitted by such law. We have entered into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our director or officer or was serving at our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References in this Item 15 to “Live Oak” refer to Live Oak Acquisition Corp. V prior to the Domestication and Business Combination, and references to “Legacy Teamshares” refer to Teamshares Inc. prior to the Business Combination and Teamshares LLC, as applicable, following the Business Combination. The Business Combination closed on June 18, 2026. Unless otherwise indicated, no underwriters were involved in the transactions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On December 20, 2024, Live Oak issued 5,750,000 Class B ordinary shares to Live Oak Sponsor V LLC, or the Sponsor, for an aggregate purchase price of $25,000, or approximately $0.004 per share, in a private placement. The Sponsor’s purchase price was paid by payment of offering costs on Live Oak’s behalf. On March 3, 2025, the underwriters in Live Oak’s initial public offering exercised their over-allotment option in full, and, as a result, 750,000 of those founder shares were no longer subject to forfeiture. Live Oak relied on the exemption from registration provided by Section 4(a)(2) and Regulation D of the Securities Act for the issuance and sale of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On March 3, 2025, simultaneously with the closing of Live Oak’s initial public offering, Live Oak sold 4,500,000 private placement warrants to the Sponsor at a purchase price of $1.00 per private placement warrant, generating aggregate gross proceeds of $4.5 million. Each private placement warrant entitled the holder to purchase one Class A ordinary share of Live Oak at an exercise price of $11.50 per share, subject to adjustment. Upon the Domestication, each Live Oak warrant automatically converted into a redeemable warrant of Teamshares Inc. on the same terms as the Live Oak warrants. Live Oak relied on the exemption from registration provided by Section 4(a)(2) of the Securities Act for the issuance and sale of these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year ended December 31, 2024, Legacy Teamshares raised approximately $73.6 million through the issuance of Series E-1 convertible preferred stock. During the year ended December 31, 2025, Legacy Teamshares raised approximately $1.3 million through the issuance of Series E-1 convertible preferred stock. The proceeds from these issuances were used to fund Legacy Teamshares’ operations and the equity portion of business combinations. Each share of Legacy Teamshares preferred stock was convertible, at the option of the holder, into the number of shares of Legacy Teamshares common stock determined by dividing the applicable original issue price by the applicable conversion price then in effect. Legacy Teamshares relied on the exemption from registration provided by Section 4(a)(2) of the Securities Act for the issuance and sale of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2024, Legacy Teamshares entered into a simple agreement for future equity with an unaffiliated investor in exchange for proceeds of $10.0 million. In connection with Legacy Teamshares’ Series E preferred stock issuances during the year ended December 31, 2024, that SAFE converted into 131,015 shares of Legacy Teamshares Series E preferred stock. The SAFE conversion did not impact Legacy Teamshares’ consolidated statements of operations during the year ended December 31, 2024. Legacy Teamshares relied on the exemption from registration provided by Section 4(a)(2) of the Securities Act for the issuance and sale of the SAFE and the shares issued upon conversion of the SAFE.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between December 2025 and May 2026, Legacy Teamshares entered into simple agreements for future equity with certain SAFE investors for aggregate purchase amounts of approximately $6.3 million. Of that amount, Legacy Teamshares received approximately $3.0 million in December 2025, $1.1 million in January 2026, $1.3 million in April 2026 and $1.0 million in May 2026. Upon consummation of the Business Combination, the Teamshares SAFEs automatically converted into 688,043 newly issued shares of Common Stock. The Teamshares SAFEs also contemplated and resulted in the delivery at the Closing of an aggregate of 63,300 additional shares of Common Stock as bonus shares. Legacy Teamshares relied on the exemption from registration provided by Section 4(a)(2) of the Securities Act for the issuance and sale of the Teamshares SAFEs and the issuance of the shares upon conversion of the Teamshares SAFEs. </w:t>
      </w:r>
    </w:p>
    <w:p>
      <w:pPr>
        <w:pStyle w:val="TextBody"/>
        <w:bidi w:val="0"/>
        <w:spacing w:before="240" w:after="0"/>
        <w:jc w:val="left"/>
        <w:rPr>
          <w:rFonts w:ascii="Times New Roman" w:hAnsi="Times New Roman"/>
          <w:sz w:val="20"/>
        </w:rPr>
      </w:pPr>
      <w:r>
        <w:rPr>
          <w:rFonts w:ascii="Times New Roman" w:hAnsi="Times New Roman"/>
          <w:sz w:val="20"/>
        </w:rPr>
        <w:t xml:space="preserve">On November 14, 2025, Live Oak entered into subscription agreements with certain investors, or the Initial PIPE Investors, pursuant to which the Initial PIPE Investors agreed to purchase shares of Live Oak common stock in connection with the Business Combination. On June 18, 2026, substantially concurrently with the consummation of the Business Combination, the Company issued and sold to the Initial PIPE Investors an aggregate of 13,750,000 shares of Common Stock at a purchase price of $9.20 per share, for aggregate gross proceeds of approximately $126.5 million. The Initial PIPE Investors included certain members of Teamshares management, and the terms of the Initial PIPE Subscription Agreements entered into by the Teamshares management PIPE investors were equivalent to the terms of the Initial PIPE Subscription Agreements entered into by investors that were not Teamshares management PIPE investors. The Company relied on the exemption from registration provided by Section 4(a)(2) of the Securities Act for the issuance and sale of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2025, Teamshares Dependable Capital LLC, a wholly owned subsidiary of Legacy Teamshares, entered into loan agreements that resulted in net proceeds of $15.4 million. In connection with those loan agreements, the lenders received 15,558 Series E-1 warrants. Counterparties to $6.3 million of the Teamshares Dependable Capital loans included members of Legacy Teamshares’ management and board of directors. Legacy Teamshares relied on the exemption from registration provided by Section 4(a)(2) of the Securities Act for the issuance and sale of these warrants. </w:t>
      </w:r>
    </w:p>
    <w:p>
      <w:pPr>
        <w:pStyle w:val="TextBody"/>
        <w:bidi w:val="0"/>
        <w:spacing w:before="240" w:after="0"/>
        <w:jc w:val="left"/>
        <w:rPr>
          <w:rFonts w:ascii="Times New Roman" w:hAnsi="Times New Roman"/>
          <w:sz w:val="20"/>
        </w:rPr>
      </w:pPr>
      <w:r>
        <w:rPr>
          <w:rFonts w:ascii="Times New Roman" w:hAnsi="Times New Roman"/>
          <w:sz w:val="20"/>
        </w:rPr>
        <w:t xml:space="preserve">Prior to the First Effective Time, outstanding Legacy Teamshares warrants to purchase 77,258 shares of Legacy Teamshares common stock were exercised in accordance with their terms, resulting in the issuance, on a net exercise basis, of 48,988 shares of Legacy Teamshares common stock prior to the First Effective Time. The Company relied on the exemption from registration provided by Section 4(a)(2) of the Securities Act for the issuance of these shares upon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year ended December 31, 2024, Legacy Teamshares granted options to purchase 226,375 shares of Legacy Teamshares common stock under its 2020 Equity Incentive Plan, at a weighted-average exercise price of $35.37 per share. During the year ended December 31, 2025, Legacy Teamshares granted options to purchase 226,990 shares of Legacy Teamshares common stock under its 2020 Equity Incentive Plan, at a weighted-average exercise price of $30.40 per share. During the years ended December 31, 2024 and 2025, respectively, options to purchase 10,631 and 12,249 shares of Legacy Teamshares common stock were exercised for cash at weighted-average exercise prices of $3.80 and $3.73 per share. Legacy Teamshares relied on Rule 701 promulgated under the Securities Act for the grant of options and the issuance of shares upon exercise of options under the 2020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The offers, sales and issuances of securities described above were made in transactions not involving a public offering, and the Company believes that each transaction was exempt from registration under the Securities Act pursuant to the exemptions identified above. The recipients of the securities in each of these transactions represented their intentions to acquire the securities for investment only and not with a view to or for sale in connection with any distribution thereof in violation of Section 5 of the Securities Act, and as the shares are uncertificated, appropriate transfer restrictions were placed in the issuer’s transfer records. All recipients had adequate access to information about the Company. The sales of these securities were made without any general solicitation or advertising.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Exhibits</w:t>
      </w:r>
      <w:r>
        <w:rPr>
          <w:rFonts w:ascii="Times New Roman" w:hAnsi="Times New Roman"/>
          <w:sz w:val="20"/>
        </w:rPr>
        <w:t xml:space="preserve">. See the exhibit index immediately preceding the signature pages hereto, which is incorporated by reference as if fully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Financial Statement Schedules</w:t>
      </w:r>
      <w:r>
        <w:rPr>
          <w:rFonts w:ascii="Times New Roman" w:hAnsi="Times New Roman"/>
          <w:sz w:val="20"/>
        </w:rPr>
        <w:t xml:space="preserve">. None. </w:t>
      </w:r>
    </w:p>
    <w:p>
      <w:pPr>
        <w:pStyle w:val="TextBody"/>
        <w:bidi w:val="0"/>
        <w:spacing w:before="360" w:after="0"/>
        <w:jc w:val="left"/>
        <w:rPr>
          <w:rFonts w:ascii="Times New Roman" w:hAnsi="Times New Roman"/>
          <w:sz w:val="20"/>
        </w:rPr>
      </w:pPr>
      <w:r>
        <w:rPr>
          <w:rFonts w:ascii="Times New Roman" w:hAnsi="Times New Roman"/>
          <w:b/>
          <w:sz w:val="20"/>
        </w:rPr>
        <w:t xml:space="preserve">Item 17. Undertakings. </w:t>
      </w:r>
      <w:r>
        <w:rPr>
          <w:rFonts w:ascii="Times New Roman" w:hAnsi="Times New Roman"/>
          <w:sz w:val="20"/>
        </w:rPr>
        <w:t xml:space="preserve">The undersigned registrant hereby undertakes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before="120" w:after="0"/>
        <w:jc w:val="left"/>
        <w:rPr>
          <w:rFonts w:ascii="Times New Roman" w:hAnsi="Times New Roman"/>
          <w:sz w:val="20"/>
        </w:rPr>
      </w:pPr>
      <w:r>
        <w:rPr>
          <w:rFonts w:ascii="Times New Roman" w:hAnsi="Times New Roman"/>
          <w:sz w:val="20"/>
        </w:rPr>
        <w:t xml:space="preserve">(5) That, for the purpose of determining any liability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12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120" w:after="0"/>
        <w:jc w:val="left"/>
        <w:rPr>
          <w:rFonts w:ascii="Times New Roman" w:hAnsi="Times New Roman"/>
          <w:sz w:val="20"/>
        </w:rPr>
      </w:pPr>
      <w:r>
        <w:rPr>
          <w:rFonts w:ascii="Times New Roman" w:hAnsi="Times New Roman"/>
          <w:sz w:val="20"/>
        </w:rPr>
        <w:t xml:space="preserve">(6)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p>
      <w:pPr>
        <w:pStyle w:val="TextBody"/>
        <w:bidi w:val="0"/>
        <w:spacing w:before="120" w:after="0"/>
        <w:jc w:val="left"/>
        <w:rPr>
          <w:rFonts w:ascii="Times New Roman" w:hAnsi="Times New Roman"/>
          <w:sz w:val="20"/>
        </w:rPr>
      </w:pPr>
      <w:r>
        <w:rPr>
          <w:rFonts w:ascii="Times New Roman" w:hAnsi="Times New Roman"/>
          <w:sz w:val="20"/>
        </w:rPr>
        <w:t xml:space="preserve">(7) 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(8) Insofar as indemnification for liabilities arising under the Securities Act may be permitted to directors, officers and controlling persons of the undersigned pursuant to the foregoing provisions, or otherwise, the undersigned has been advised that in the opinion of the SEC such indemnification is against public policy as expressed in the Securities Act and is, therefore, unenforceable. In the event that a claim for indemnification against such liabilities (other than the payment by the undersigned of expenses incurred or paid by a director, officer or controlling person of the undersigned in the successful defense of any action, suit or proceeding) is asserted by such director, officer or controlling person in connection with the securities being registered, the undersigned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undersigned registrant hereby undertakes to respond to requests for information that is incorporated by reference into this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bidi w:val="0"/>
        <w:spacing w:before="240" w:after="0"/>
        <w:jc w:val="left"/>
        <w:rPr>
          <w:rFonts w:ascii="Times New Roman" w:hAnsi="Times New Roman"/>
          <w:sz w:val="20"/>
        </w:rPr>
      </w:pPr>
      <w:r>
        <w:rPr>
          <w:rFonts w:ascii="Times New Roman" w:hAnsi="Times New Roman"/>
          <w:sz w:val="20"/>
        </w:rPr>
        <w:t xml:space="preserve">(c) The undersigned registrant hereby undertakes to supply by means of a post-effective amendment all information concerning a transaction, and the company being acquired involved therein, that was not the subject of and included in the registration statement when it became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1"/>
        <w:gridCol w:w="783"/>
        <w:gridCol w:w="8561"/>
      </w:tblGrid>
      <w:tr>
        <w:trPr/>
        <w:tc>
          <w:tcPr>
            <w:tcW w:w="861" w:type="dxa"/>
            <w:tcBorders/>
            <w:vAlign w:val="center"/>
          </w:tcPr>
          <w:p>
            <w:pPr>
              <w:pStyle w:val="TableContents"/>
              <w:bidi w:val="0"/>
              <w:spacing w:before="0" w:after="283"/>
              <w:jc w:val="left"/>
              <w:rPr>
                <w:sz w:val="4"/>
                <w:szCs w:val="4"/>
              </w:rPr>
            </w:pPr>
            <w:r>
              <w:rPr>
                <w:sz w:val="4"/>
                <w:szCs w:val="4"/>
              </w:rPr>
            </w:r>
          </w:p>
        </w:tc>
        <w:tc>
          <w:tcPr>
            <w:tcW w:w="783" w:type="dxa"/>
            <w:tcBorders/>
            <w:vAlign w:val="bottom"/>
          </w:tcPr>
          <w:p>
            <w:pPr>
              <w:pStyle w:val="TableContents"/>
              <w:bidi w:val="0"/>
              <w:spacing w:before="0" w:after="283"/>
              <w:jc w:val="left"/>
              <w:rPr>
                <w:sz w:val="4"/>
                <w:szCs w:val="4"/>
              </w:rPr>
            </w:pPr>
            <w:r>
              <w:rPr>
                <w:sz w:val="4"/>
                <w:szCs w:val="4"/>
              </w:rPr>
            </w:r>
          </w:p>
        </w:tc>
        <w:tc>
          <w:tcPr>
            <w:tcW w:w="8561" w:type="dxa"/>
            <w:tcBorders/>
            <w:vAlign w:val="center"/>
          </w:tcPr>
          <w:p>
            <w:pPr>
              <w:pStyle w:val="TableContents"/>
              <w:bidi w:val="0"/>
              <w:spacing w:before="0" w:after="283"/>
              <w:jc w:val="left"/>
              <w:rPr>
                <w:sz w:val="4"/>
                <w:szCs w:val="4"/>
              </w:rPr>
            </w:pPr>
            <w:r>
              <w:rPr>
                <w:sz w:val="4"/>
                <w:szCs w:val="4"/>
              </w:rPr>
            </w:r>
          </w:p>
        </w:tc>
      </w:tr>
      <w:tr>
        <w:trPr/>
        <w:tc>
          <w:tcPr>
            <w:tcW w:w="8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83" w:type="dxa"/>
            <w:tcBorders/>
            <w:vAlign w:val="bottom"/>
          </w:tcPr>
          <w:p>
            <w:pPr>
              <w:pStyle w:val="TableContents"/>
              <w:bidi w:val="0"/>
              <w:spacing w:before="0" w:after="283"/>
              <w:jc w:val="left"/>
              <w:rPr/>
            </w:pPr>
            <w:r>
              <w:rPr/>
              <w:t> </w:t>
            </w:r>
          </w:p>
        </w:tc>
        <w:tc>
          <w:tcPr>
            <w:tcW w:w="856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pPr>
            <w:r>
              <w:rPr/>
              <w:t> </w:t>
            </w:r>
            <w:r>
              <w:rPr/>
              <w:t>2.1</w:t>
            </w:r>
          </w:p>
        </w:tc>
        <w:tc>
          <w:tcPr>
            <w:tcW w:w="783"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Agreement and Plan of Merger, dated as of November 14, 2025, by and among Live Oak, Teamshares, Merger Sub, Merger Sub II, the SPAC Representative and the Seller Representative (incorporated herein by reference to Live Oak’s Current Report on Form 8-K filed on November 14, 2025).</w:t>
            </w:r>
          </w:p>
        </w:tc>
      </w:tr>
      <w:tr>
        <w:trPr>
          <w:trHeight w:val="120" w:hRule="atLeast"/>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pPr>
            <w:r>
              <w:rPr/>
              <w:t> </w:t>
            </w:r>
            <w:r>
              <w:rPr/>
              <w:t>2.2</w:t>
            </w:r>
          </w:p>
        </w:tc>
        <w:tc>
          <w:tcPr>
            <w:tcW w:w="783"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First Amendment to the Agreement and Plan of Merger, dated as of April 1, 2026, by and among Live Oak and Teamshares (incorporated herein by reference to Live Oak’s Current Report on Form 8-K filed on April 2, 2026).</w:t>
            </w:r>
          </w:p>
        </w:tc>
      </w:tr>
      <w:tr>
        <w:trPr>
          <w:trHeight w:val="120" w:hRule="atLeast"/>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pPr>
            <w:r>
              <w:rPr/>
              <w:t> </w:t>
            </w:r>
            <w:r>
              <w:rPr/>
              <w:t>2.3</w:t>
            </w:r>
          </w:p>
        </w:tc>
        <w:tc>
          <w:tcPr>
            <w:tcW w:w="783"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Second Amendment to the Agreement and Plan of Merger, dated as of May 13, 2026, by and among Live Oak and Teamshares (incorporated herein by reference to Live Oak’s Current Report on Form 8-K filed on May 13, 2026).</w:t>
            </w:r>
          </w:p>
        </w:tc>
      </w:tr>
      <w:tr>
        <w:trPr>
          <w:trHeight w:val="120" w:hRule="atLeast"/>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pPr>
            <w:r>
              <w:rPr/>
              <w:t> </w:t>
            </w:r>
            <w:r>
              <w:rPr/>
              <w:t>3.1</w:t>
            </w:r>
          </w:p>
        </w:tc>
        <w:tc>
          <w:tcPr>
            <w:tcW w:w="783"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Certificate of Incorporation of Teamshares Inc. (including Certificate of Corporate Domestication) (incorporated herein by reference to the Company’s Current Report on Form 8-K filed on June 25, 2026).</w:t>
            </w:r>
          </w:p>
        </w:tc>
      </w:tr>
      <w:tr>
        <w:trPr>
          <w:trHeight w:val="120" w:hRule="atLeast"/>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pPr>
            <w:r>
              <w:rPr/>
              <w:t> </w:t>
            </w:r>
            <w:r>
              <w:rPr/>
              <w:t>3.2</w:t>
            </w:r>
          </w:p>
        </w:tc>
        <w:tc>
          <w:tcPr>
            <w:tcW w:w="783"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Amended and Restated Bylaws of Teamshares Inc. (incorporated herein by reference to the Company’s Current Report on Form 8-K filed on June 25, 2026).</w:t>
            </w:r>
          </w:p>
        </w:tc>
      </w:tr>
      <w:tr>
        <w:trPr>
          <w:trHeight w:val="120" w:hRule="atLeast"/>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pPr>
            <w:r>
              <w:rPr/>
              <w:t> </w:t>
            </w:r>
            <w:r>
              <w:rPr/>
              <w:t>4.1</w:t>
            </w:r>
          </w:p>
        </w:tc>
        <w:tc>
          <w:tcPr>
            <w:tcW w:w="783"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Warrant Agreement, dated February 27, 2025, by and between Live Oak and CST, as warrant agent (incorporated herein by reference to Live Oak’s Current Report on Form 8-K filed on March 4, 2025)</w:t>
            </w:r>
          </w:p>
        </w:tc>
      </w:tr>
      <w:tr>
        <w:trPr>
          <w:trHeight w:val="120" w:hRule="atLeast"/>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pPr>
            <w:r>
              <w:rPr/>
              <w:t> </w:t>
            </w:r>
            <w:r>
              <w:rPr/>
              <w:t>4.2</w:t>
            </w:r>
          </w:p>
        </w:tc>
        <w:tc>
          <w:tcPr>
            <w:tcW w:w="783"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Specimen Common Stock Certificate of Teamshares Inc. (incorporated herein by reference to the Company’s Current Report on Form 8-K filed on June 25, 2026).</w:t>
            </w:r>
          </w:p>
        </w:tc>
      </w:tr>
      <w:tr>
        <w:trPr>
          <w:trHeight w:val="120" w:hRule="atLeast"/>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pPr>
            <w:r>
              <w:rPr/>
              <w:t> </w:t>
            </w:r>
            <w:r>
              <w:rPr/>
              <w:t>5.1**</w:t>
            </w:r>
          </w:p>
        </w:tc>
        <w:tc>
          <w:tcPr>
            <w:tcW w:w="783"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Legal opinion of Latham &amp; Watkins LLP.</w:t>
            </w:r>
          </w:p>
        </w:tc>
      </w:tr>
      <w:tr>
        <w:trPr>
          <w:trHeight w:val="120" w:hRule="atLeast"/>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pPr>
            <w:r>
              <w:rPr/>
              <w:t>10.1</w:t>
            </w:r>
          </w:p>
        </w:tc>
        <w:tc>
          <w:tcPr>
            <w:tcW w:w="783"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Form of Indemnification Agreement between Teamshares Inc. and each of its directors and executive officers (incorporated by reference to Exhibit 10.14 of the Company’s Registration Statement on Form S-4 (File No. 333-294869), filed with the SEC on May 22, 2026).</w:t>
            </w:r>
          </w:p>
        </w:tc>
      </w:tr>
      <w:tr>
        <w:trPr>
          <w:trHeight w:val="120" w:hRule="atLeast"/>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pPr>
            <w:r>
              <w:rPr/>
              <w:t>10.2(a)</w:t>
            </w:r>
          </w:p>
        </w:tc>
        <w:tc>
          <w:tcPr>
            <w:tcW w:w="783"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First Insider Letter Amendment, dated as of November 14, 2025, by and among Live Oak and its officers and directors, the Sponsor and Teamshares (incorporated herein by reference to Live Oak’s Current Report on Form 8-K filed on November 14, 2025).</w:t>
            </w:r>
          </w:p>
        </w:tc>
      </w:tr>
      <w:tr>
        <w:trPr>
          <w:trHeight w:val="120" w:hRule="atLeast"/>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pPr>
            <w:r>
              <w:rPr/>
              <w:t>10.2(b)</w:t>
            </w:r>
          </w:p>
        </w:tc>
        <w:tc>
          <w:tcPr>
            <w:tcW w:w="783"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Second Insider Letter Amendment, dated as of April 1, 2026, by and among Live Oak and its officers and directors, the Sponsor and Teamshares (incorporated herein by reference to Live Oak’s Current Report on Form 8-K filed on April 2, 2026).</w:t>
            </w:r>
          </w:p>
        </w:tc>
      </w:tr>
      <w:tr>
        <w:trPr>
          <w:trHeight w:val="120" w:hRule="atLeast"/>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pPr>
            <w:r>
              <w:rPr/>
              <w:t>10.3</w:t>
            </w:r>
          </w:p>
        </w:tc>
        <w:tc>
          <w:tcPr>
            <w:tcW w:w="783"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Form of Lock-Up Agreement, dated as of November 14, 2025, by and among Live Oak, the Sponsor and the Significant Company Holders. (incorporated herein by reference to Live Oak’s Current Report on Form 8-K filed on November 14, 2025).</w:t>
            </w:r>
          </w:p>
        </w:tc>
      </w:tr>
      <w:tr>
        <w:trPr>
          <w:trHeight w:val="120" w:hRule="atLeast"/>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pPr>
            <w:r>
              <w:rPr/>
              <w:t>10.4</w:t>
            </w:r>
          </w:p>
        </w:tc>
        <w:tc>
          <w:tcPr>
            <w:tcW w:w="783"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Form of Lock-Up Agreement, dated as of November 14, 2025, by and among Live Oak, the Sponsor and the members of Teamshares’ management (incorporated herein by reference to Live Oak’s Current Report on Form 8-K filed on November 14, 2025).</w:t>
            </w:r>
          </w:p>
        </w:tc>
      </w:tr>
      <w:tr>
        <w:trPr>
          <w:trHeight w:val="120" w:hRule="atLeast"/>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pPr>
            <w:r>
              <w:rPr/>
              <w:t>10.5</w:t>
            </w:r>
          </w:p>
        </w:tc>
        <w:tc>
          <w:tcPr>
            <w:tcW w:w="783"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Form of Employee Lock-Up Agreement (incorporated herein by reference to the Company’s Current Report on Form 8-K filed on June 25, 2026).</w:t>
            </w:r>
          </w:p>
        </w:tc>
      </w:tr>
      <w:tr>
        <w:trPr>
          <w:trHeight w:val="120" w:hRule="atLeast"/>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pPr>
            <w:r>
              <w:rPr/>
              <w:t>10.6*</w:t>
            </w:r>
          </w:p>
        </w:tc>
        <w:tc>
          <w:tcPr>
            <w:tcW w:w="783"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Form of Amended and Restated Registration Rights Agreement, dated as of June 18, 2026, by and among Teamshares Inc. and each of the stockholders of Teamshares Inc. identified on the signature pages thereto.</w:t>
            </w:r>
          </w:p>
        </w:tc>
      </w:tr>
      <w:tr>
        <w:trPr>
          <w:trHeight w:val="120" w:hRule="atLeast"/>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pPr>
            <w:r>
              <w:rPr/>
              <w:t>10.7</w:t>
            </w:r>
          </w:p>
        </w:tc>
        <w:tc>
          <w:tcPr>
            <w:tcW w:w="783"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Form of Voting and Support Agreement, dated as of November 14, 2025, by and among Live Oak, Teamshares and the Significant Company Holders (incorporated herein by reference to Live Oak’s Current Report on Form 8-K filed on November 14,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74"/>
        <w:gridCol w:w="607"/>
        <w:gridCol w:w="8624"/>
      </w:tblGrid>
      <w:tr>
        <w:trPr/>
        <w:tc>
          <w:tcPr>
            <w:tcW w:w="974" w:type="dxa"/>
            <w:tcBorders/>
            <w:vAlign w:val="center"/>
          </w:tcPr>
          <w:p>
            <w:pPr>
              <w:pStyle w:val="TableContents"/>
              <w:bidi w:val="0"/>
              <w:spacing w:before="0" w:after="283"/>
              <w:jc w:val="left"/>
              <w:rPr>
                <w:sz w:val="4"/>
                <w:szCs w:val="4"/>
              </w:rPr>
            </w:pPr>
            <w:r>
              <w:rPr>
                <w:sz w:val="4"/>
                <w:szCs w:val="4"/>
              </w:rPr>
            </w:r>
          </w:p>
        </w:tc>
        <w:tc>
          <w:tcPr>
            <w:tcW w:w="607" w:type="dxa"/>
            <w:tcBorders/>
            <w:vAlign w:val="bottom"/>
          </w:tcPr>
          <w:p>
            <w:pPr>
              <w:pStyle w:val="TableContents"/>
              <w:bidi w:val="0"/>
              <w:spacing w:before="0" w:after="283"/>
              <w:jc w:val="left"/>
              <w:rPr>
                <w:sz w:val="4"/>
                <w:szCs w:val="4"/>
              </w:rPr>
            </w:pPr>
            <w:r>
              <w:rPr>
                <w:sz w:val="4"/>
                <w:szCs w:val="4"/>
              </w:rPr>
            </w:r>
          </w:p>
        </w:tc>
        <w:tc>
          <w:tcPr>
            <w:tcW w:w="8624" w:type="dxa"/>
            <w:tcBorders/>
            <w:vAlign w:val="center"/>
          </w:tcPr>
          <w:p>
            <w:pPr>
              <w:pStyle w:val="TableContents"/>
              <w:bidi w:val="0"/>
              <w:spacing w:before="0" w:after="283"/>
              <w:jc w:val="left"/>
              <w:rPr>
                <w:sz w:val="4"/>
                <w:szCs w:val="4"/>
              </w:rPr>
            </w:pPr>
            <w:r>
              <w:rPr>
                <w:sz w:val="4"/>
                <w:szCs w:val="4"/>
              </w:rPr>
            </w:r>
          </w:p>
        </w:tc>
      </w:tr>
      <w:tr>
        <w:trPr/>
        <w:tc>
          <w:tcPr>
            <w:tcW w:w="9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07" w:type="dxa"/>
            <w:tcBorders/>
            <w:vAlign w:val="bottom"/>
          </w:tcPr>
          <w:p>
            <w:pPr>
              <w:pStyle w:val="TableContents"/>
              <w:bidi w:val="0"/>
              <w:spacing w:before="0" w:after="283"/>
              <w:jc w:val="left"/>
              <w:rPr/>
            </w:pPr>
            <w:r>
              <w:rPr/>
              <w:t> </w:t>
            </w:r>
          </w:p>
        </w:tc>
        <w:tc>
          <w:tcPr>
            <w:tcW w:w="862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10.8</w:t>
            </w:r>
          </w:p>
        </w:tc>
        <w:tc>
          <w:tcPr>
            <w:tcW w:w="607"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Form of PIPE Subscription Agreement, dated as of November 14, 2025, by and among the Live Oak and certain investors party thereto (incorporated herein by reference to Live Oak’s Current Report on Form 8-K filed on November 14, 2025).</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10.9</w:t>
            </w:r>
          </w:p>
        </w:tc>
        <w:tc>
          <w:tcPr>
            <w:tcW w:w="607"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Forward Purchase Agreement dated June 1, 2026, by and between Live Oak Acquisition Corp. V and HB Strategies LLC (incorporated herein by reference to Live Oak’s Current Report on Form 8-K filed on June 2, 2026).</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10.10#</w:t>
            </w:r>
          </w:p>
        </w:tc>
        <w:tc>
          <w:tcPr>
            <w:tcW w:w="607"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Teamshares Inc. 2026 Incentive Award Plan (incorporated herein by reference to the Company’s Current Report on Form 8-K filed on June 25, 2026).</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10.10(a)#</w:t>
            </w:r>
          </w:p>
        </w:tc>
        <w:tc>
          <w:tcPr>
            <w:tcW w:w="607"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Form of Stock Option Agreement under the Teamshares Inc. 2026 Incentive Award Plan (incorporated herein by reference to the Company’s Current Report on Form 8-K filed on June 25, 2026).</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10.10(b)#</w:t>
            </w:r>
          </w:p>
        </w:tc>
        <w:tc>
          <w:tcPr>
            <w:tcW w:w="607"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Form of Restricted Stock Unit Agreement under the Teamshares Inc. 2026 Incentive Award Plan (incorporated herein by reference to the Company’s Current Report on Form 8-K filed on June 25, 2026).</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10.11#</w:t>
            </w:r>
          </w:p>
        </w:tc>
        <w:tc>
          <w:tcPr>
            <w:tcW w:w="607"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Teamshares Inc. 2026 Employee Stock Purchase Plan (incorporated herein by reference to the Company’s Current Report on Form 8-K filed on June 25, 2026).</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10.12#</w:t>
            </w:r>
          </w:p>
        </w:tc>
        <w:tc>
          <w:tcPr>
            <w:tcW w:w="607"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Teamshares Inc. 2020 Equity Incentive Plan (incorporated herein by reference to the Company’s Current Report on Form 8-K filed on June 25, 2026).</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10.13#</w:t>
            </w:r>
          </w:p>
        </w:tc>
        <w:tc>
          <w:tcPr>
            <w:tcW w:w="607"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Form of Stock Option Agreement under the Teamshares Inc. 2020 Equity Incentive Plan (incorporated herein by reference to the Company’s Current Report on Form 8-K filed on June 25, 2026).</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10.14#</w:t>
            </w:r>
          </w:p>
        </w:tc>
        <w:tc>
          <w:tcPr>
            <w:tcW w:w="607"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Employment Agreement, dated as of May 16, 2026, between Michael Brown and Teamshares Inc. (incorporated herein by reference to the Company’s Current Report on Form 8-K filed on June 25, 2026).</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10.15#</w:t>
            </w:r>
          </w:p>
        </w:tc>
        <w:tc>
          <w:tcPr>
            <w:tcW w:w="607"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Employment Agreement, dated as of May 16, 2026, between Brian Gaebe and Teamshares Inc. (incorporated herein by reference to the Company’s Current Report on Form 8-K filed on June 25, 2026).</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10.16#</w:t>
            </w:r>
          </w:p>
        </w:tc>
        <w:tc>
          <w:tcPr>
            <w:tcW w:w="607"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Employment Agreement, dated as of May 16, 2026, between Madhuri Kommareddi and Teamshares Inc. (incorporated herein by reference to the Company’s Current Report on Form 8-K filed on June 25, 2026).</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10.17</w:t>
            </w:r>
          </w:p>
        </w:tc>
        <w:tc>
          <w:tcPr>
            <w:tcW w:w="607"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Form of Non-Redemption Agreement (incorporated herein by reference to the Company’s Current Report on Form 8-K filed on June 25, 2026).</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21.1</w:t>
            </w:r>
          </w:p>
        </w:tc>
        <w:tc>
          <w:tcPr>
            <w:tcW w:w="607"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List of Subsidiaries of Teamshares Inc. (incorporated herein by reference to the Company’s Current Report on Form 8-K filed on June 25, 2026).</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23.1**</w:t>
            </w:r>
          </w:p>
        </w:tc>
        <w:tc>
          <w:tcPr>
            <w:tcW w:w="607"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Consent of WithumSmith+Brown, PC.</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23.2**</w:t>
            </w:r>
          </w:p>
        </w:tc>
        <w:tc>
          <w:tcPr>
            <w:tcW w:w="607"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Consent of KPMG LLP.</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23.3**</w:t>
            </w:r>
          </w:p>
        </w:tc>
        <w:tc>
          <w:tcPr>
            <w:tcW w:w="607"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Consent of Latham &amp; Watkins LLP (included in Exhibit 5.1).</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24.1*</w:t>
            </w:r>
          </w:p>
        </w:tc>
        <w:tc>
          <w:tcPr>
            <w:tcW w:w="607"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Power of Attorney.</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104**</w:t>
            </w:r>
          </w:p>
        </w:tc>
        <w:tc>
          <w:tcPr>
            <w:tcW w:w="607"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Cover Page Interactive Data File (embedded within the Inline XBRL document).</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107**</w:t>
            </w:r>
          </w:p>
        </w:tc>
        <w:tc>
          <w:tcPr>
            <w:tcW w:w="607"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Filing Fee Table.</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management contract or compensatory plan. </w:t>
            </w:r>
          </w:p>
        </w:tc>
      </w:tr>
    </w:tbl>
    <w:tbl>
      <w:tblPr>
        <w:tblW w:w="5000" w:type="pct"/>
        <w:jc w:val="left"/>
        <w:tblInd w:w="0" w:type="dxa"/>
        <w:tblLayout w:type="fixed"/>
        <w:tblCellMar>
          <w:top w:w="0" w:type="dxa"/>
          <w:left w:w="0" w:type="dxa"/>
          <w:bottom w:w="0" w:type="dxa"/>
          <w:right w:w="0" w:type="dxa"/>
        </w:tblCellMar>
      </w:tblPr>
      <w:tblGrid>
        <w:gridCol w:w="201"/>
        <w:gridCol w:w="10004"/>
      </w:tblGrid>
      <w:tr>
        <w:trPr/>
        <w:tc>
          <w:tcPr>
            <w:tcW w:w="201" w:type="dxa"/>
            <w:tcBorders/>
          </w:tcPr>
          <w:p>
            <w:pPr>
              <w:pStyle w:val="TableContents"/>
              <w:bidi w:val="0"/>
              <w:spacing w:before="0" w:after="283"/>
              <w:jc w:val="left"/>
              <w:rPr/>
            </w:pPr>
            <w:r>
              <w:rPr/>
              <w:t></w:t>
            </w:r>
          </w:p>
        </w:tc>
        <w:tc>
          <w:tcPr>
            <w:tcW w:w="1000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annexes, schedules, and certain exhibits to this Exhibit have been omitted pursuant to Item 601(b)(2) of Regulation S-K. The Registrant hereby agrees to furnish supplementally a copy of any omitted annex, schedule or exhibit to the SEC upon request.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3" w:name="sig"/>
      <w:bookmarkEnd w:id="53"/>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U.S. Securities Act of 1933, as amended, the registrant has duly caused this registration statement to be signed on its behalf by the undersigned, thereunto duly authorized, in New York City, New York, on July 17,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TEAMSHARES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Michael Brown</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Michael Brown</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Chief Executive Officer and Director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constitutes and appoints each of Michael Brown and Brian Gaebe,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July 17,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6"/>
        <w:gridCol w:w="207"/>
        <w:gridCol w:w="5312"/>
      </w:tblGrid>
      <w:tr>
        <w:trPr/>
        <w:tc>
          <w:tcPr>
            <w:tcW w:w="4686"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5312" w:type="dxa"/>
            <w:tcBorders/>
            <w:vAlign w:val="center"/>
          </w:tcPr>
          <w:p>
            <w:pPr>
              <w:pStyle w:val="TableContents"/>
              <w:bidi w:val="0"/>
              <w:spacing w:before="0" w:after="283"/>
              <w:jc w:val="left"/>
              <w:rPr>
                <w:sz w:val="4"/>
                <w:szCs w:val="4"/>
              </w:rPr>
            </w:pPr>
            <w:r>
              <w:rPr>
                <w:sz w:val="4"/>
                <w:szCs w:val="4"/>
              </w:rPr>
            </w:r>
          </w:p>
        </w:tc>
      </w:tr>
      <w:tr>
        <w:trPr/>
        <w:tc>
          <w:tcPr>
            <w:tcW w:w="46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207" w:type="dxa"/>
            <w:tcBorders/>
            <w:vAlign w:val="bottom"/>
          </w:tcPr>
          <w:p>
            <w:pPr>
              <w:pStyle w:val="TableContents"/>
              <w:bidi w:val="0"/>
              <w:spacing w:before="0" w:after="283"/>
              <w:jc w:val="left"/>
              <w:rPr/>
            </w:pPr>
            <w:r>
              <w:rPr/>
              <w:t>  </w:t>
            </w:r>
          </w:p>
        </w:tc>
        <w:tc>
          <w:tcPr>
            <w:tcW w:w="53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Michael Brown</w:t>
            </w:r>
          </w:p>
          <w:p>
            <w:pPr>
              <w:pStyle w:val="TableContents"/>
              <w:bidi w:val="0"/>
              <w:spacing w:before="0" w:after="20"/>
              <w:jc w:val="left"/>
              <w:rPr>
                <w:rFonts w:ascii="Times New Roman" w:hAnsi="Times New Roman"/>
                <w:sz w:val="20"/>
              </w:rPr>
            </w:pPr>
            <w:r>
              <w:rPr>
                <w:rFonts w:ascii="Times New Roman" w:hAnsi="Times New Roman"/>
                <w:sz w:val="20"/>
              </w:rPr>
              <w:t>Michael Brown</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Brian Gaebe</w:t>
            </w:r>
          </w:p>
          <w:p>
            <w:pPr>
              <w:pStyle w:val="TableContents"/>
              <w:bidi w:val="0"/>
              <w:spacing w:before="0" w:after="20"/>
              <w:jc w:val="left"/>
              <w:rPr>
                <w:rFonts w:ascii="Times New Roman" w:hAnsi="Times New Roman"/>
                <w:sz w:val="20"/>
              </w:rPr>
            </w:pPr>
            <w:r>
              <w:rPr>
                <w:rFonts w:ascii="Times New Roman" w:hAnsi="Times New Roman"/>
                <w:sz w:val="20"/>
              </w:rPr>
              <w:t>Brian Gaebe</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and Accounting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Alex Eu</w:t>
            </w:r>
          </w:p>
          <w:p>
            <w:pPr>
              <w:pStyle w:val="TableContents"/>
              <w:bidi w:val="0"/>
              <w:spacing w:before="0" w:after="20"/>
              <w:jc w:val="left"/>
              <w:rPr>
                <w:rFonts w:ascii="Times New Roman" w:hAnsi="Times New Roman"/>
                <w:sz w:val="20"/>
              </w:rPr>
            </w:pPr>
            <w:r>
              <w:rPr>
                <w:rFonts w:ascii="Times New Roman" w:hAnsi="Times New Roman"/>
                <w:sz w:val="20"/>
              </w:rPr>
              <w:t>Alex Eu</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Adam Fishman</w:t>
            </w:r>
          </w:p>
          <w:p>
            <w:pPr>
              <w:pStyle w:val="TableContents"/>
              <w:bidi w:val="0"/>
              <w:spacing w:before="0" w:after="20"/>
              <w:jc w:val="left"/>
              <w:rPr>
                <w:rFonts w:ascii="Times New Roman" w:hAnsi="Times New Roman"/>
                <w:sz w:val="20"/>
              </w:rPr>
            </w:pPr>
            <w:r>
              <w:rPr>
                <w:rFonts w:ascii="Times New Roman" w:hAnsi="Times New Roman"/>
                <w:sz w:val="20"/>
              </w:rPr>
              <w:t>Adam Fishman</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Richard Hendrix</w:t>
            </w:r>
          </w:p>
          <w:p>
            <w:pPr>
              <w:pStyle w:val="TableContents"/>
              <w:bidi w:val="0"/>
              <w:spacing w:before="0" w:after="20"/>
              <w:jc w:val="left"/>
              <w:rPr>
                <w:rFonts w:ascii="Times New Roman" w:hAnsi="Times New Roman"/>
                <w:sz w:val="20"/>
              </w:rPr>
            </w:pPr>
            <w:r>
              <w:rPr>
                <w:rFonts w:ascii="Times New Roman" w:hAnsi="Times New Roman"/>
                <w:sz w:val="20"/>
              </w:rPr>
              <w:t>Richard Hendrix</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Evan Moore</w:t>
            </w:r>
          </w:p>
          <w:p>
            <w:pPr>
              <w:pStyle w:val="TableContents"/>
              <w:bidi w:val="0"/>
              <w:spacing w:before="0" w:after="20"/>
              <w:jc w:val="left"/>
              <w:rPr>
                <w:rFonts w:ascii="Times New Roman" w:hAnsi="Times New Roman"/>
                <w:sz w:val="20"/>
              </w:rPr>
            </w:pPr>
            <w:r>
              <w:rPr>
                <w:rFonts w:ascii="Times New Roman" w:hAnsi="Times New Roman"/>
                <w:sz w:val="20"/>
              </w:rPr>
              <w:t>Evan Moore</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 </w:t>
      </w:r>
    </w:p>
    <w:p>
      <w:pPr>
        <w:pStyle w:val="TextBody"/>
        <w:bidi w:val="0"/>
        <w:spacing w:before="0" w:after="0"/>
        <w:jc w:val="right"/>
        <w:rPr>
          <w:rFonts w:ascii="Times New Roman" w:hAnsi="Times New Roman"/>
          <w:b/>
          <w:sz w:val="20"/>
        </w:rPr>
      </w:pPr>
      <w:bookmarkStart w:id="54" w:name="filename2.htm"/>
      <w:bookmarkStart w:id="55" w:name="ksfilename2"/>
      <w:bookmarkEnd w:id="54"/>
      <w:bookmarkEnd w:id="55"/>
      <w:r>
        <w:rPr>
          <w:rFonts w:ascii="Times New Roman" w:hAnsi="Times New Roman"/>
          <w:b/>
          <w:sz w:val="20"/>
        </w:rPr>
        <w:t xml:space="preserve">Exhibit 10.6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AMENDED AND RESTATED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THIS AMENDED AND RESTATED REGISTRATION RIGHTS AGREEMENT (this “</w:t>
      </w:r>
      <w:r>
        <w:rPr>
          <w:rFonts w:ascii="Times New Roman" w:hAnsi="Times New Roman"/>
          <w:b/>
          <w:i/>
          <w:sz w:val="20"/>
        </w:rPr>
        <w:t>Agreement</w:t>
      </w:r>
      <w:r>
        <w:rPr>
          <w:rFonts w:ascii="Times New Roman" w:hAnsi="Times New Roman"/>
          <w:sz w:val="20"/>
        </w:rPr>
        <w:t>”), dated as of June 18, 2026, is made and entered into by and among Teamshares Inc., a Delaware corporation (formerly known as Live Oak Acquisition Corp. V, a Cayman Islands exempted company, prior to the Domestication (as defined herein)) (the “</w:t>
      </w:r>
      <w:r>
        <w:rPr>
          <w:rFonts w:ascii="Times New Roman" w:hAnsi="Times New Roman"/>
          <w:b/>
          <w:i/>
          <w:sz w:val="20"/>
        </w:rPr>
        <w:t>Company</w:t>
      </w:r>
      <w:r>
        <w:rPr>
          <w:rFonts w:ascii="Times New Roman" w:hAnsi="Times New Roman"/>
          <w:sz w:val="20"/>
        </w:rPr>
        <w:t>”), Live Oak Sponsor V, LLC, a Delaware limited liability company (the “</w:t>
      </w:r>
      <w:r>
        <w:rPr>
          <w:rFonts w:ascii="Times New Roman" w:hAnsi="Times New Roman"/>
          <w:b/>
          <w:i/>
          <w:sz w:val="20"/>
        </w:rPr>
        <w:t>Sponsor</w:t>
      </w:r>
      <w:r>
        <w:rPr>
          <w:rFonts w:ascii="Times New Roman" w:hAnsi="Times New Roman"/>
          <w:sz w:val="20"/>
        </w:rPr>
        <w:t>”), the members of the Sponsor identified on the signature pages hereto under “Other Sponsor Holders” (such members, together with the Sponsor, the “</w:t>
      </w:r>
      <w:r>
        <w:rPr>
          <w:rFonts w:ascii="Times New Roman" w:hAnsi="Times New Roman"/>
          <w:b/>
          <w:i/>
          <w:sz w:val="20"/>
        </w:rPr>
        <w:t>Sponsor</w:t>
      </w:r>
      <w:r>
        <w:rPr>
          <w:rFonts w:ascii="Times New Roman" w:hAnsi="Times New Roman"/>
          <w:sz w:val="20"/>
        </w:rPr>
        <w:t xml:space="preserve"> </w:t>
      </w:r>
      <w:r>
        <w:rPr>
          <w:rFonts w:ascii="Times New Roman" w:hAnsi="Times New Roman"/>
          <w:b/>
          <w:i/>
          <w:sz w:val="20"/>
        </w:rPr>
        <w:t>Holders</w:t>
      </w:r>
      <w:r>
        <w:rPr>
          <w:rFonts w:ascii="Times New Roman" w:hAnsi="Times New Roman"/>
          <w:sz w:val="20"/>
        </w:rPr>
        <w:t>”), each of the undersigned parties listed on the signature page hereto under “PIPE Holders” (the “</w:t>
      </w:r>
      <w:r>
        <w:rPr>
          <w:rFonts w:ascii="Times New Roman" w:hAnsi="Times New Roman"/>
          <w:b/>
          <w:i/>
          <w:sz w:val="20"/>
        </w:rPr>
        <w:t>PIPE Holders</w:t>
      </w:r>
      <w:r>
        <w:rPr>
          <w:rFonts w:ascii="Times New Roman" w:hAnsi="Times New Roman"/>
          <w:sz w:val="20"/>
        </w:rPr>
        <w:t>”), each of the undersigned parties listed on the signature page hereto under “Teamshares Holders” (the “</w:t>
      </w:r>
      <w:r>
        <w:rPr>
          <w:rFonts w:ascii="Times New Roman" w:hAnsi="Times New Roman"/>
          <w:b/>
          <w:i/>
          <w:sz w:val="20"/>
        </w:rPr>
        <w:t>Teamshares Holders</w:t>
      </w:r>
      <w:r>
        <w:rPr>
          <w:rFonts w:ascii="Times New Roman" w:hAnsi="Times New Roman"/>
          <w:sz w:val="20"/>
        </w:rPr>
        <w:t>”) and each of the undersigned parties listed on the signature page hereto under “Other Holders” (the “</w:t>
      </w:r>
      <w:r>
        <w:rPr>
          <w:rFonts w:ascii="Times New Roman" w:hAnsi="Times New Roman"/>
          <w:b/>
          <w:i/>
          <w:sz w:val="20"/>
        </w:rPr>
        <w:t>Other Holders</w:t>
      </w:r>
      <w:r>
        <w:rPr>
          <w:rFonts w:ascii="Times New Roman" w:hAnsi="Times New Roman"/>
          <w:sz w:val="20"/>
        </w:rPr>
        <w:t xml:space="preserve">” and each such party, together with the Sponsor, the Sponsor Holders, the Teamshares Holders and any Person who hereafter becomes a party to this Agreement pursuant to </w:t>
      </w:r>
      <w:r>
        <w:rPr>
          <w:rFonts w:ascii="Times New Roman" w:hAnsi="Times New Roman"/>
          <w:sz w:val="20"/>
          <w:u w:val="single"/>
        </w:rPr>
        <w:t>Section 5.2</w:t>
      </w:r>
      <w:r>
        <w:rPr>
          <w:rFonts w:ascii="Times New Roman" w:hAnsi="Times New Roman"/>
          <w:sz w:val="20"/>
        </w:rPr>
        <w:t>, a “</w:t>
      </w:r>
      <w:r>
        <w:rPr>
          <w:rFonts w:ascii="Times New Roman" w:hAnsi="Times New Roman"/>
          <w:b/>
          <w:i/>
          <w:sz w:val="20"/>
        </w:rPr>
        <w:t>Holder</w:t>
      </w:r>
      <w:r>
        <w:rPr>
          <w:rFonts w:ascii="Times New Roman" w:hAnsi="Times New Roman"/>
          <w:sz w:val="20"/>
        </w:rPr>
        <w:t>” and collectively the “</w:t>
      </w:r>
      <w:r>
        <w:rPr>
          <w:rFonts w:ascii="Times New Roman" w:hAnsi="Times New Roman"/>
          <w:b/>
          <w:i/>
          <w:sz w:val="20"/>
        </w:rPr>
        <w:t>Holders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and certain Sponsor Holders are party to that certain Registration Rights Agreement, dated as of February 27, 2025 (the “</w:t>
      </w:r>
      <w:r>
        <w:rPr>
          <w:rFonts w:ascii="Times New Roman" w:hAnsi="Times New Roman"/>
          <w:b/>
          <w:i/>
          <w:sz w:val="20"/>
        </w:rPr>
        <w:t>Original RRA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is party to that certain Agreement and Plan of Merger, dated as of November 14, 2025, (as the same may be amended, restated, amended and restated, supplemented or otherwise modified from time to time, the “</w:t>
      </w:r>
      <w:r>
        <w:rPr>
          <w:rFonts w:ascii="Times New Roman" w:hAnsi="Times New Roman"/>
          <w:b/>
          <w:i/>
          <w:sz w:val="20"/>
        </w:rPr>
        <w:t>Merger Agreement</w:t>
      </w:r>
      <w:r>
        <w:rPr>
          <w:rFonts w:ascii="Times New Roman" w:hAnsi="Times New Roman"/>
          <w:sz w:val="20"/>
        </w:rPr>
        <w:t>”), by and among (i) the Company, (ii) Catalyst Sub Inc., a Delaware corporation and a wholly-owned subsidiary of SPAC (“</w:t>
      </w:r>
      <w:r>
        <w:rPr>
          <w:rFonts w:ascii="Times New Roman" w:hAnsi="Times New Roman"/>
          <w:b/>
          <w:i/>
          <w:sz w:val="20"/>
        </w:rPr>
        <w:t>Merger Sub</w:t>
      </w:r>
      <w:r>
        <w:rPr>
          <w:rFonts w:ascii="Times New Roman" w:hAnsi="Times New Roman"/>
          <w:sz w:val="20"/>
        </w:rPr>
        <w:t>”</w:t>
      </w:r>
      <w:r>
        <w:rPr>
          <w:rFonts w:ascii="Times New Roman" w:hAnsi="Times New Roman"/>
          <w:i/>
          <w:sz w:val="20"/>
        </w:rPr>
        <w:t>)</w:t>
      </w:r>
      <w:r>
        <w:rPr>
          <w:rFonts w:ascii="Times New Roman" w:hAnsi="Times New Roman"/>
          <w:sz w:val="20"/>
        </w:rPr>
        <w:t>, (iii) Catalyst Sub 2 LLC, a Delaware limited liability company and a wholly-owned subsidiary of SPAC (“</w:t>
      </w:r>
      <w:r>
        <w:rPr>
          <w:rFonts w:ascii="Times New Roman" w:hAnsi="Times New Roman"/>
          <w:b/>
          <w:i/>
          <w:sz w:val="20"/>
        </w:rPr>
        <w:t>Merger Sub II</w:t>
      </w:r>
      <w:r>
        <w:rPr>
          <w:rFonts w:ascii="Times New Roman" w:hAnsi="Times New Roman"/>
          <w:sz w:val="20"/>
        </w:rPr>
        <w:t>” and together with Merger Sub, the “</w:t>
      </w:r>
      <w:r>
        <w:rPr>
          <w:rFonts w:ascii="Times New Roman" w:hAnsi="Times New Roman"/>
          <w:b/>
          <w:i/>
          <w:sz w:val="20"/>
        </w:rPr>
        <w:t>Merger Subs</w:t>
      </w:r>
      <w:r>
        <w:rPr>
          <w:rFonts w:ascii="Times New Roman" w:hAnsi="Times New Roman"/>
          <w:sz w:val="20"/>
        </w:rPr>
        <w:t>”), (iv) the Sponsor, in the capacity as the representative from and after the First Effective Time (as defined below) for the stockholders of SPAC (other than the Company Security Holders and their respective successors and assignees) in accordance with the terms and conditions of the Merger Agreement (the “</w:t>
      </w:r>
      <w:r>
        <w:rPr>
          <w:rFonts w:ascii="Times New Roman" w:hAnsi="Times New Roman"/>
          <w:b/>
          <w:i/>
          <w:sz w:val="20"/>
        </w:rPr>
        <w:t>SPAC Representative</w:t>
      </w:r>
      <w:r>
        <w:rPr>
          <w:rFonts w:ascii="Times New Roman" w:hAnsi="Times New Roman"/>
          <w:sz w:val="20"/>
        </w:rPr>
        <w:t>”), (v) Brian Gaebe, in the capacity as the representative from and after the First Effective Time of the Earnout Participants and their respective successors and assignees in accordance with the terms and conditions of the Merger Agreement (the “</w:t>
      </w:r>
      <w:r>
        <w:rPr>
          <w:rFonts w:ascii="Times New Roman" w:hAnsi="Times New Roman"/>
          <w:b/>
          <w:i/>
          <w:sz w:val="20"/>
        </w:rPr>
        <w:t>Seller Representative</w:t>
      </w:r>
      <w:r>
        <w:rPr>
          <w:rFonts w:ascii="Times New Roman" w:hAnsi="Times New Roman"/>
          <w:sz w:val="20"/>
        </w:rPr>
        <w:t>” and, together with the SPAC Representative, the “</w:t>
      </w:r>
      <w:r>
        <w:rPr>
          <w:rFonts w:ascii="Times New Roman" w:hAnsi="Times New Roman"/>
          <w:b/>
          <w:i/>
          <w:sz w:val="20"/>
        </w:rPr>
        <w:t>Representative Parties</w:t>
      </w:r>
      <w:r>
        <w:rPr>
          <w:rFonts w:ascii="Times New Roman" w:hAnsi="Times New Roman"/>
          <w:sz w:val="20"/>
        </w:rPr>
        <w:t>”) and (vi) Teamshares Inc., a Delaware corporation (“</w:t>
      </w:r>
      <w:r>
        <w:rPr>
          <w:rFonts w:ascii="Times New Roman" w:hAnsi="Times New Roman"/>
          <w:b/>
          <w:i/>
          <w:sz w:val="20"/>
        </w:rPr>
        <w:t>Legacy</w:t>
      </w:r>
      <w:r>
        <w:rPr>
          <w:rFonts w:ascii="Times New Roman" w:hAnsi="Times New Roman"/>
          <w:sz w:val="20"/>
        </w:rPr>
        <w:t xml:space="preserve"> </w:t>
      </w:r>
      <w:r>
        <w:rPr>
          <w:rFonts w:ascii="Times New Roman" w:hAnsi="Times New Roman"/>
          <w:b/>
          <w:i/>
          <w:sz w:val="20"/>
        </w:rPr>
        <w:t>Teamshares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prior to the date hereof and subject to the conditions of the Merger Agreement, the Company transferred by way of continuation to and domesticated as a Delaware corporation in accordance with Section 388 of the Delaware General Corporation Law, as amended, and the Companies Act (as revised) of the Cayman Islands (the “</w:t>
      </w:r>
      <w:r>
        <w:rPr>
          <w:rFonts w:ascii="Times New Roman" w:hAnsi="Times New Roman"/>
          <w:b/>
          <w:i/>
          <w:sz w:val="20"/>
        </w:rPr>
        <w:t>Domestication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prior to the Domestication, the Sponsor owned, in aggregate, 5,750,000 Class B Ordinary Shares of the Company;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(i) immediately prior to the Domestication, each then issued and outstanding Class B Ordinary Share of the Company was converted on a one-for-one basis into a Class A Ordinary Share of the Company and (ii) in connection with the Domestication, (x) each then issued and outstanding Class A Ordinary Share of the Company was converted automatically, on a one-for-one basis, into a share of common stock of the Company, par value $0.0001 per share (the “</w:t>
      </w:r>
      <w:r>
        <w:rPr>
          <w:rFonts w:ascii="Times New Roman" w:hAnsi="Times New Roman"/>
          <w:b/>
          <w:i/>
          <w:sz w:val="20"/>
        </w:rPr>
        <w:t>Common Stock</w:t>
      </w:r>
      <w:r>
        <w:rPr>
          <w:rFonts w:ascii="Times New Roman" w:hAnsi="Times New Roman"/>
          <w:sz w:val="20"/>
        </w:rPr>
        <w:t xml:space="preserve">”) and (y) each then issued and outstanding unit of Company automatically detached into its component parts;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Merger Agreement, on the date hereof, (a) Merger Sub merged with and into Legacy Teamshares (the “</w:t>
      </w:r>
      <w:r>
        <w:rPr>
          <w:rFonts w:ascii="Times New Roman" w:hAnsi="Times New Roman"/>
          <w:b/>
          <w:i/>
          <w:sz w:val="20"/>
        </w:rPr>
        <w:t>First Merger</w:t>
      </w:r>
      <w:r>
        <w:rPr>
          <w:rFonts w:ascii="Times New Roman" w:hAnsi="Times New Roman"/>
          <w:sz w:val="20"/>
        </w:rPr>
        <w:t>”), with Legacy Teamshares surviving such merger as a wholly-owned subsidiary of the Company (the “</w:t>
      </w:r>
      <w:r>
        <w:rPr>
          <w:rFonts w:ascii="Times New Roman" w:hAnsi="Times New Roman"/>
          <w:b/>
          <w:i/>
          <w:sz w:val="20"/>
        </w:rPr>
        <w:t>Surviving Corporation</w:t>
      </w:r>
      <w:r>
        <w:rPr>
          <w:rFonts w:ascii="Times New Roman" w:hAnsi="Times New Roman"/>
          <w:sz w:val="20"/>
        </w:rPr>
        <w:t>”) and (c) immediately following the First Merger and as part of the same overall transaction as the First Merger, the Surviving Corporation merged with and into Merger Sub II (the “</w:t>
      </w:r>
      <w:r>
        <w:rPr>
          <w:rFonts w:ascii="Times New Roman" w:hAnsi="Times New Roman"/>
          <w:b/>
          <w:i/>
          <w:sz w:val="20"/>
        </w:rPr>
        <w:t>Second Merger</w:t>
      </w:r>
      <w:r>
        <w:rPr>
          <w:rFonts w:ascii="Times New Roman" w:hAnsi="Times New Roman"/>
          <w:sz w:val="20"/>
        </w:rPr>
        <w:t>” and together with the First Merger, the “</w:t>
      </w:r>
      <w:r>
        <w:rPr>
          <w:rFonts w:ascii="Times New Roman" w:hAnsi="Times New Roman"/>
          <w:b/>
          <w:i/>
          <w:sz w:val="20"/>
        </w:rPr>
        <w:t>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on the date hereof, in connection with the Closing of the Mergers, the Company issued approximately 49,435,918 shares of Common Stock to the Teamshares Holders;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the Merger Agreement, on the date hereof, the holders of Legacy Teamshares’ In-the-Money Options received options to purchase Common Stock (each, an “</w:t>
      </w:r>
      <w:r>
        <w:rPr>
          <w:rFonts w:ascii="Times New Roman" w:hAnsi="Times New Roman"/>
          <w:b/>
          <w:i/>
          <w:sz w:val="20"/>
        </w:rPr>
        <w:t>Assumed Option</w:t>
      </w:r>
      <w:r>
        <w:rPr>
          <w:rFonts w:ascii="Times New Roman" w:hAnsi="Times New Roman"/>
          <w:sz w:val="20"/>
        </w:rPr>
        <w:t xml:space="preserve">”) in exchange for such In-the-Money Options;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the Merger Agreement, on the date hereof, any Legacy Teamshares Convertible Security (other than In-the-Money Company Options but including any Company Options that are not In the Money Company Options), if not exercised or converted at or prior to the First Effective Time into shares of Company Common Stock, were cancelled, retired and terminated, and thereby ceased to represent any right to acquire, be exchanged for or convert into, shares of Company Stock or any other security (the “</w:t>
      </w:r>
      <w:r>
        <w:rPr>
          <w:rFonts w:ascii="Times New Roman" w:hAnsi="Times New Roman"/>
          <w:b/>
          <w:i/>
          <w:sz w:val="20"/>
        </w:rPr>
        <w:t>Legacy Teamshares Convertible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Section 5.5 of the Original RRA, the provisions, covenants and conditions set forth therein may be amended or modified upon the written consent of the Company and the Holders (as defined in the Original RRA) (the “</w:t>
      </w:r>
      <w:r>
        <w:rPr>
          <w:rFonts w:ascii="Times New Roman" w:hAnsi="Times New Roman"/>
          <w:b/>
          <w:i/>
          <w:sz w:val="20"/>
        </w:rPr>
        <w:t>Original Holders</w:t>
      </w:r>
      <w:r>
        <w:rPr>
          <w:rFonts w:ascii="Times New Roman" w:hAnsi="Times New Roman"/>
          <w:sz w:val="20"/>
        </w:rPr>
        <w:t>”) of at least a majority in interest of the Registrable Securities (as defined in the Original RRA) (the “</w:t>
      </w:r>
      <w:r>
        <w:rPr>
          <w:rFonts w:ascii="Times New Roman" w:hAnsi="Times New Roman"/>
          <w:b/>
          <w:i/>
          <w:sz w:val="20"/>
        </w:rPr>
        <w:t>Original Registrable Securities</w:t>
      </w:r>
      <w:r>
        <w:rPr>
          <w:rFonts w:ascii="Times New Roman" w:hAnsi="Times New Roman"/>
          <w:sz w:val="20"/>
        </w:rPr>
        <w:t xml:space="preserve">”) at the time in question, and the Sponsor Holders party hereto are Original Holders of at least a majority in interest of the Original Registrable Securities as of the date hereof;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connection with the consummation of the transactions described above, the Company and the Original Holders desire to amend and restate the Original RRA in its entirety as set forth herein, and the Company and the Holders desire to enter into this Agreement, pursuant to which the Company shall grant the Holders certain registration rights with respect to the Registrable Securities (as defined below) on the terms and conditions set forth in this Agreement. </w:t>
      </w:r>
    </w:p>
    <w:p>
      <w:pPr>
        <w:pStyle w:val="TextBody"/>
        <w:bidi w:val="0"/>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in consideration of the representations, covenants and agreements contained herein, and certain other good and valuable consideration, the receipt and sufficiency of which are hereby acknowledged, the parties hereto, intending to be legally bound,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Definitions</w:t>
      </w:r>
      <w:r>
        <w:rPr>
          <w:rFonts w:ascii="Times New Roman" w:hAnsi="Times New Roman"/>
          <w:sz w:val="20"/>
        </w:rPr>
        <w:t xml:space="preserve">. The terms defined in this </w:t>
      </w:r>
      <w:r>
        <w:rPr>
          <w:rFonts w:ascii="Times New Roman" w:hAnsi="Times New Roman"/>
          <w:sz w:val="20"/>
          <w:u w:val="single"/>
        </w:rPr>
        <w:t>Article I</w:t>
      </w:r>
      <w:r>
        <w:rPr>
          <w:rFonts w:ascii="Times New Roman" w:hAnsi="Times New Roman"/>
          <w:sz w:val="20"/>
        </w:rPr>
        <w:t xml:space="preserve"> shall, for all purposes of this Agreement, have the respective meanings set forth below: </w:t>
      </w:r>
    </w:p>
    <w:p>
      <w:pPr>
        <w:pStyle w:val="TextBody"/>
        <w:bidi w:val="0"/>
        <w:spacing w:before="240" w:after="0"/>
        <w:jc w:val="left"/>
        <w:rPr/>
      </w:pPr>
      <w:r>
        <w:rPr/>
        <w:t>“</w:t>
      </w:r>
      <w:r>
        <w:rPr>
          <w:rFonts w:ascii="Times New Roman" w:hAnsi="Times New Roman"/>
          <w:b/>
          <w:i/>
          <w:sz w:val="20"/>
        </w:rPr>
        <w:t>Additional Holder</w:t>
      </w:r>
      <w:r>
        <w:rPr>
          <w:rFonts w:ascii="Times New Roman" w:hAnsi="Times New Roman"/>
          <w:sz w:val="20"/>
        </w:rPr>
        <w:t xml:space="preserve">” shall have the meaning given in </w:t>
      </w:r>
      <w:r>
        <w:rPr>
          <w:rFonts w:ascii="Times New Roman" w:hAnsi="Times New Roman"/>
          <w:sz w:val="20"/>
          <w:u w:val="single"/>
        </w:rPr>
        <w:t>Section 5.11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Additional Holder Common Stock</w:t>
      </w:r>
      <w:r>
        <w:rPr>
          <w:rFonts w:ascii="Times New Roman" w:hAnsi="Times New Roman"/>
          <w:sz w:val="20"/>
        </w:rPr>
        <w:t xml:space="preserve">” shall have the meaning given in </w:t>
      </w:r>
      <w:r>
        <w:rPr>
          <w:rFonts w:ascii="Times New Roman" w:hAnsi="Times New Roman"/>
          <w:sz w:val="20"/>
          <w:u w:val="single"/>
        </w:rPr>
        <w:t>Section 5.11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Adverse Disclosure</w:t>
      </w:r>
      <w:r>
        <w:rPr>
          <w:rFonts w:ascii="Times New Roman" w:hAnsi="Times New Roman"/>
          <w:sz w:val="20"/>
        </w:rPr>
        <w:t xml:space="preserve">” shall mean any public disclosure of material non-public information, which disclosure, in the good faith reasonable judgment of the Chief Executive Officer or Chief Financial Officer of the Company or the Board, in each case, after consultation with counsel to the Company, (i) would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required to be made in any Registration Statement or Prospectus in order for the applicable Registration Statement or Prospectus not to contain any untrue statement of a material fact or omit to state a material fact required to be stated therein or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declared effective or used, as the case may be, and (iii) the Company has a </w:t>
      </w:r>
      <w:r>
        <w:rPr>
          <w:rFonts w:ascii="Times New Roman" w:hAnsi="Times New Roman"/>
          <w:i/>
          <w:sz w:val="20"/>
        </w:rPr>
        <w:t>bona fide</w:t>
      </w:r>
      <w:r>
        <w:rPr>
          <w:rFonts w:ascii="Times New Roman" w:hAnsi="Times New Roman"/>
          <w:sz w:val="20"/>
        </w:rPr>
        <w:t xml:space="preserve"> business purpose for not making such information public. </w:t>
      </w:r>
    </w:p>
    <w:p>
      <w:pPr>
        <w:pStyle w:val="TextBody"/>
        <w:bidi w:val="0"/>
        <w:spacing w:before="240" w:after="0"/>
        <w:jc w:val="left"/>
        <w:rPr/>
      </w:pPr>
      <w:r>
        <w:rPr/>
        <w:t>“</w:t>
      </w:r>
      <w:r>
        <w:rPr>
          <w:rFonts w:ascii="Times New Roman" w:hAnsi="Times New Roman"/>
          <w:b/>
          <w:i/>
          <w:sz w:val="20"/>
        </w:rPr>
        <w:t>Agreement</w:t>
      </w:r>
      <w:r>
        <w:rPr>
          <w:rFonts w:ascii="Times New Roman" w:hAnsi="Times New Roman"/>
          <w:sz w:val="20"/>
        </w:rPr>
        <w:t xml:space="preserve">” shall have the meaning given in the Preamble hereto. </w:t>
      </w:r>
    </w:p>
    <w:p>
      <w:pPr>
        <w:pStyle w:val="TextBody"/>
        <w:bidi w:val="0"/>
        <w:spacing w:before="240" w:after="0"/>
        <w:jc w:val="left"/>
        <w:rPr/>
      </w:pPr>
      <w:r>
        <w:rPr/>
        <w:t>“</w:t>
      </w:r>
      <w:r>
        <w:rPr>
          <w:rFonts w:ascii="Times New Roman" w:hAnsi="Times New Roman"/>
          <w:b/>
          <w:i/>
          <w:sz w:val="20"/>
        </w:rPr>
        <w:t>Board</w:t>
      </w:r>
      <w:r>
        <w:rPr>
          <w:rFonts w:ascii="Times New Roman" w:hAnsi="Times New Roman"/>
          <w:sz w:val="20"/>
        </w:rPr>
        <w:t xml:space="preserve">” shall mean the board of directors of the Company.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 day other than a Saturday, Sunday or other day on which commercial banks in New York, New York are authorized or required by Law to close. </w:t>
      </w:r>
    </w:p>
    <w:p>
      <w:pPr>
        <w:pStyle w:val="TextBody"/>
        <w:bidi w:val="0"/>
        <w:spacing w:before="240" w:after="0"/>
        <w:jc w:val="left"/>
        <w:rPr/>
      </w:pPr>
      <w:r>
        <w:rPr/>
        <w:t>“</w:t>
      </w:r>
      <w:r>
        <w:rPr>
          <w:rFonts w:ascii="Times New Roman" w:hAnsi="Times New Roman"/>
          <w:b/>
          <w:i/>
          <w:sz w:val="20"/>
        </w:rPr>
        <w:t>Closing</w:t>
      </w:r>
      <w:r>
        <w:rPr>
          <w:rFonts w:ascii="Times New Roman" w:hAnsi="Times New Roman"/>
          <w:sz w:val="20"/>
        </w:rPr>
        <w:t xml:space="preserve">” shall have the meaning given in the Merger Agreement. </w:t>
      </w:r>
    </w:p>
    <w:p>
      <w:pPr>
        <w:pStyle w:val="TextBody"/>
        <w:bidi w:val="0"/>
        <w:spacing w:before="240" w:after="0"/>
        <w:jc w:val="left"/>
        <w:rPr/>
      </w:pPr>
      <w:r>
        <w:rPr/>
        <w:t>“</w:t>
      </w:r>
      <w:r>
        <w:rPr>
          <w:rFonts w:ascii="Times New Roman" w:hAnsi="Times New Roman"/>
          <w:b/>
          <w:i/>
          <w:sz w:val="20"/>
        </w:rPr>
        <w:t>Closing Date</w:t>
      </w:r>
      <w:r>
        <w:rPr>
          <w:rFonts w:ascii="Times New Roman" w:hAnsi="Times New Roman"/>
          <w:sz w:val="20"/>
        </w:rPr>
        <w:t xml:space="preserve">” shall have the meaning given in the Merger Agreement. </w:t>
      </w:r>
    </w:p>
    <w:p>
      <w:pPr>
        <w:pStyle w:val="TextBody"/>
        <w:bidi w:val="0"/>
        <w:spacing w:before="240" w:after="0"/>
        <w:jc w:val="left"/>
        <w:rPr/>
      </w:pPr>
      <w:r>
        <w:rPr/>
        <w:t>“</w:t>
      </w:r>
      <w:r>
        <w:rPr>
          <w:rFonts w:ascii="Times New Roman" w:hAnsi="Times New Roman"/>
          <w:b/>
          <w:i/>
          <w:sz w:val="20"/>
        </w:rPr>
        <w:t>Commission</w:t>
      </w:r>
      <w:r>
        <w:rPr>
          <w:rFonts w:ascii="Times New Roman" w:hAnsi="Times New Roman"/>
          <w:sz w:val="20"/>
        </w:rPr>
        <w:t xml:space="preserve">” shall mean the U.S. Securities and Exchange Commission. </w:t>
      </w:r>
    </w:p>
    <w:p>
      <w:pPr>
        <w:pStyle w:val="TextBody"/>
        <w:bidi w:val="0"/>
        <w:spacing w:before="240" w:after="0"/>
        <w:jc w:val="left"/>
        <w:rPr/>
      </w:pPr>
      <w:r>
        <w:rPr/>
        <w:t>“</w:t>
      </w:r>
      <w:r>
        <w:rPr>
          <w:rFonts w:ascii="Times New Roman" w:hAnsi="Times New Roman"/>
          <w:b/>
          <w:i/>
          <w:sz w:val="20"/>
        </w:rPr>
        <w:t>Common Stock</w:t>
      </w:r>
      <w:r>
        <w:rPr>
          <w:rFonts w:ascii="Times New Roman" w:hAnsi="Times New Roman"/>
          <w:sz w:val="20"/>
        </w:rPr>
        <w:t xml:space="preserve">” shall have the meaning given in the Recitals hereto. </w:t>
      </w:r>
    </w:p>
    <w:p>
      <w:pPr>
        <w:pStyle w:val="TextBody"/>
        <w:bidi w:val="0"/>
        <w:spacing w:before="240" w:after="0"/>
        <w:jc w:val="left"/>
        <w:rPr/>
      </w:pPr>
      <w:r>
        <w:rPr/>
        <w:t>“</w:t>
      </w:r>
      <w:r>
        <w:rPr>
          <w:rFonts w:ascii="Times New Roman" w:hAnsi="Times New Roman"/>
          <w:b/>
          <w:i/>
          <w:sz w:val="20"/>
        </w:rPr>
        <w:t>Company</w:t>
      </w:r>
      <w:r>
        <w:rPr>
          <w:rFonts w:ascii="Times New Roman" w:hAnsi="Times New Roman"/>
          <w:sz w:val="20"/>
        </w:rPr>
        <w:t xml:space="preserve">” shall have the meaning given in the Preamble hereto and includes the Company’s successors by recapitalization, merger, consolidation, spin-off, reorganization or similar transaction. </w:t>
      </w:r>
    </w:p>
    <w:p>
      <w:pPr>
        <w:pStyle w:val="TextBody"/>
        <w:bidi w:val="0"/>
        <w:spacing w:before="240" w:after="0"/>
        <w:jc w:val="left"/>
        <w:rPr/>
      </w:pPr>
      <w:r>
        <w:rPr/>
        <w:t>“</w:t>
      </w:r>
      <w:r>
        <w:rPr>
          <w:rFonts w:ascii="Times New Roman" w:hAnsi="Times New Roman"/>
          <w:b/>
          <w:i/>
          <w:sz w:val="20"/>
        </w:rPr>
        <w:t>Competing Registration Rights</w:t>
      </w:r>
      <w:r>
        <w:rPr>
          <w:rFonts w:ascii="Times New Roman" w:hAnsi="Times New Roman"/>
          <w:sz w:val="20"/>
        </w:rPr>
        <w:t xml:space="preserve">” shall have the meaning given in </w:t>
      </w:r>
      <w:r>
        <w:rPr>
          <w:rFonts w:ascii="Times New Roman" w:hAnsi="Times New Roman"/>
          <w:sz w:val="20"/>
          <w:u w:val="single"/>
        </w:rPr>
        <w:t>Section 5.7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Demanding Holder</w:t>
      </w:r>
      <w:r>
        <w:rPr>
          <w:rFonts w:ascii="Times New Roman" w:hAnsi="Times New Roman"/>
          <w:sz w:val="20"/>
        </w:rPr>
        <w:t xml:space="preserve">” shall have the meaning given in </w:t>
      </w:r>
      <w:r>
        <w:rPr>
          <w:rFonts w:ascii="Times New Roman" w:hAnsi="Times New Roman"/>
          <w:sz w:val="20"/>
          <w:u w:val="single"/>
        </w:rPr>
        <w:t>Section 2.1.4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shall mean the U.S. Securities Exchange Act of 1934, as it may be amended from time to time. </w:t>
      </w:r>
    </w:p>
    <w:p>
      <w:pPr>
        <w:pStyle w:val="TextBody"/>
        <w:bidi w:val="0"/>
        <w:spacing w:before="240" w:after="0"/>
        <w:jc w:val="left"/>
        <w:rPr/>
      </w:pPr>
      <w:r>
        <w:rPr/>
        <w:t>“</w:t>
      </w:r>
      <w:r>
        <w:rPr>
          <w:rFonts w:ascii="Times New Roman" w:hAnsi="Times New Roman"/>
          <w:b/>
          <w:i/>
          <w:sz w:val="20"/>
        </w:rPr>
        <w:t>FINRA</w:t>
      </w:r>
      <w:r>
        <w:rPr>
          <w:rFonts w:ascii="Times New Roman" w:hAnsi="Times New Roman"/>
          <w:sz w:val="20"/>
        </w:rPr>
        <w:t xml:space="preserve">” shall mean the Financial Industry Regulatory Authority, Inc. </w:t>
      </w:r>
    </w:p>
    <w:p>
      <w:pPr>
        <w:pStyle w:val="TextBody"/>
        <w:bidi w:val="0"/>
        <w:spacing w:before="240" w:after="0"/>
        <w:jc w:val="left"/>
        <w:rPr/>
      </w:pPr>
      <w:r>
        <w:rPr/>
        <w:t>“</w:t>
      </w:r>
      <w:r>
        <w:rPr>
          <w:rFonts w:ascii="Times New Roman" w:hAnsi="Times New Roman"/>
          <w:b/>
          <w:i/>
          <w:sz w:val="20"/>
        </w:rPr>
        <w:t>Form S-1 Shelf</w:t>
      </w:r>
      <w:r>
        <w:rPr>
          <w:rFonts w:ascii="Times New Roman" w:hAnsi="Times New Roman"/>
          <w:sz w:val="20"/>
        </w:rPr>
        <w:t xml:space="preserve">” shall have the meaning given in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Form S-3 Shelf</w:t>
      </w:r>
      <w:r>
        <w:rPr>
          <w:rFonts w:ascii="Times New Roman" w:hAnsi="Times New Roman"/>
          <w:sz w:val="20"/>
        </w:rPr>
        <w:t xml:space="preserve">” shall have the meaning given in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Governmental Authority</w:t>
      </w:r>
      <w:r>
        <w:rPr>
          <w:rFonts w:ascii="Times New Roman" w:hAnsi="Times New Roman"/>
          <w:sz w:val="20"/>
        </w:rPr>
        <w:t xml:space="preserve">” means any federal, state, local, foreign or other governmental, quasi-governmental or administrative body, instrumentality, department or agency or any court, tribunal, administrative hearing body, arbitration panel, commission, or other similar dispute-resolving panel or body. </w:t>
      </w:r>
    </w:p>
    <w:p>
      <w:pPr>
        <w:pStyle w:val="TextBody"/>
        <w:bidi w:val="0"/>
        <w:spacing w:before="240" w:after="0"/>
        <w:jc w:val="left"/>
        <w:rPr/>
      </w:pPr>
      <w:r>
        <w:rPr/>
        <w:t>“</w:t>
      </w:r>
      <w:r>
        <w:rPr>
          <w:rFonts w:ascii="Times New Roman" w:hAnsi="Times New Roman"/>
          <w:b/>
          <w:i/>
          <w:sz w:val="20"/>
        </w:rPr>
        <w:t>Holder Information</w:t>
      </w:r>
      <w:r>
        <w:rPr>
          <w:rFonts w:ascii="Times New Roman" w:hAnsi="Times New Roman"/>
          <w:sz w:val="20"/>
        </w:rPr>
        <w:t xml:space="preserve">” shall have the meaning given in </w:t>
      </w:r>
      <w:r>
        <w:rPr>
          <w:rFonts w:ascii="Times New Roman" w:hAnsi="Times New Roman"/>
          <w:sz w:val="20"/>
          <w:u w:val="single"/>
        </w:rPr>
        <w:t>Section 4.1.2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Holders</w:t>
      </w:r>
      <w:r>
        <w:rPr>
          <w:rFonts w:ascii="Times New Roman" w:hAnsi="Times New Roman"/>
          <w:sz w:val="20"/>
        </w:rPr>
        <w:t xml:space="preserve">” shall have the meaning given in the Preamble hereto, for so long as such Person holds any Registrable Securities. </w:t>
      </w:r>
    </w:p>
    <w:p>
      <w:pPr>
        <w:pStyle w:val="TextBody"/>
        <w:bidi w:val="0"/>
        <w:spacing w:before="240" w:after="0"/>
        <w:jc w:val="left"/>
        <w:rPr/>
      </w:pPr>
      <w:r>
        <w:rPr/>
        <w:t>“</w:t>
      </w:r>
      <w:r>
        <w:rPr>
          <w:rFonts w:ascii="Times New Roman" w:hAnsi="Times New Roman"/>
          <w:b/>
          <w:i/>
          <w:sz w:val="20"/>
        </w:rPr>
        <w:t>Insider Letter Agreement</w:t>
      </w:r>
      <w:r>
        <w:rPr>
          <w:rFonts w:ascii="Times New Roman" w:hAnsi="Times New Roman"/>
          <w:sz w:val="20"/>
        </w:rPr>
        <w:t xml:space="preserve">” means the Insider Letter Agreement, dated February 27, 2025, as amended on November 14, 2025, entered into by the Company and the Sponsor Holders.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Joinder</w:t>
      </w:r>
      <w:r>
        <w:rPr>
          <w:rFonts w:ascii="Times New Roman" w:hAnsi="Times New Roman"/>
          <w:sz w:val="20"/>
        </w:rPr>
        <w:t xml:space="preserve">” shall have the meaning given in </w:t>
      </w:r>
      <w:r>
        <w:rPr>
          <w:rFonts w:ascii="Times New Roman" w:hAnsi="Times New Roman"/>
          <w:sz w:val="20"/>
          <w:u w:val="single"/>
        </w:rPr>
        <w:t>Section 5.11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Law</w:t>
      </w:r>
      <w:r>
        <w:rPr>
          <w:rFonts w:ascii="Times New Roman" w:hAnsi="Times New Roman"/>
          <w:sz w:val="20"/>
        </w:rPr>
        <w:t xml:space="preserve">” shall mean any federal, state, local, municipal, foreign or other law, statute, legislation, principle of common law, ordinance, code, edict, decree, proclamation, treaty, convention, rule, regulation, directive, requirement, writ, injunction, settlement, order or consent that is or has been issued, enacted, adopted, passed, approved, promulgated, made, implemented or otherwise put into effect by or under the authority of any Governmental Authority. </w:t>
      </w:r>
    </w:p>
    <w:p>
      <w:pPr>
        <w:pStyle w:val="TextBody"/>
        <w:bidi w:val="0"/>
        <w:spacing w:before="240" w:after="0"/>
        <w:jc w:val="left"/>
        <w:rPr/>
      </w:pPr>
      <w:r>
        <w:rPr/>
        <w:t>“</w:t>
      </w:r>
      <w:r>
        <w:rPr>
          <w:rFonts w:ascii="Times New Roman" w:hAnsi="Times New Roman"/>
          <w:b/>
          <w:i/>
          <w:sz w:val="20"/>
        </w:rPr>
        <w:t>Legacy Teamshares</w:t>
      </w:r>
      <w:r>
        <w:rPr>
          <w:rFonts w:ascii="Times New Roman" w:hAnsi="Times New Roman"/>
          <w:sz w:val="20"/>
        </w:rPr>
        <w:t xml:space="preserve">” shall have the meaning given in the Recitals hereto. </w:t>
      </w:r>
    </w:p>
    <w:p>
      <w:pPr>
        <w:pStyle w:val="TextBody"/>
        <w:bidi w:val="0"/>
        <w:spacing w:before="240" w:after="0"/>
        <w:jc w:val="left"/>
        <w:rPr/>
      </w:pPr>
      <w:r>
        <w:rPr/>
        <w:t>“</w:t>
      </w:r>
      <w:r>
        <w:rPr>
          <w:rFonts w:ascii="Times New Roman" w:hAnsi="Times New Roman"/>
          <w:b/>
          <w:i/>
          <w:sz w:val="20"/>
        </w:rPr>
        <w:t>Legal Proceeding</w:t>
      </w:r>
      <w:r>
        <w:rPr>
          <w:rFonts w:ascii="Times New Roman" w:hAnsi="Times New Roman"/>
          <w:sz w:val="20"/>
        </w:rPr>
        <w:t xml:space="preserve">” means any notice of noncompliance or violation, or any claim, demand, charge, action, suit, litigation, audit, settlement, complaint, stipulation, assessment or arbitration, or any request (including any request for information), inquiry, hearing, proceeding or investigation, by or before any Governmental Authority. </w:t>
      </w:r>
    </w:p>
    <w:p>
      <w:pPr>
        <w:pStyle w:val="TextBody"/>
        <w:bidi w:val="0"/>
        <w:spacing w:before="240" w:after="0"/>
        <w:jc w:val="left"/>
        <w:rPr/>
      </w:pPr>
      <w:r>
        <w:rPr/>
        <w:t>“</w:t>
      </w:r>
      <w:r>
        <w:rPr>
          <w:rFonts w:ascii="Times New Roman" w:hAnsi="Times New Roman"/>
          <w:b/>
          <w:i/>
          <w:sz w:val="20"/>
        </w:rPr>
        <w:t>Legacy Teamshares Convertible Securities</w:t>
      </w:r>
      <w:r>
        <w:rPr>
          <w:rFonts w:ascii="Times New Roman" w:hAnsi="Times New Roman"/>
          <w:sz w:val="20"/>
        </w:rPr>
        <w:t xml:space="preserve">” shall have the meaning given in the Recitals hereto. </w:t>
      </w:r>
    </w:p>
    <w:p>
      <w:pPr>
        <w:pStyle w:val="TextBody"/>
        <w:bidi w:val="0"/>
        <w:spacing w:before="240" w:after="0"/>
        <w:jc w:val="left"/>
        <w:rPr/>
      </w:pPr>
      <w:r>
        <w:rPr/>
        <w:t>“</w:t>
      </w:r>
      <w:r>
        <w:rPr>
          <w:rFonts w:ascii="Times New Roman" w:hAnsi="Times New Roman"/>
          <w:b/>
          <w:i/>
          <w:sz w:val="20"/>
        </w:rPr>
        <w:t>Lock-Up Agreements</w:t>
      </w:r>
      <w:r>
        <w:rPr>
          <w:rFonts w:ascii="Times New Roman" w:hAnsi="Times New Roman"/>
          <w:sz w:val="20"/>
        </w:rPr>
        <w:t xml:space="preserve">” means the Teamshares Holder Lock-Up Agreement and the Management Team Lock-Up Agreement, collectively. </w:t>
      </w:r>
    </w:p>
    <w:p>
      <w:pPr>
        <w:pStyle w:val="TextBody"/>
        <w:bidi w:val="0"/>
        <w:spacing w:before="240" w:after="0"/>
        <w:jc w:val="left"/>
        <w:rPr/>
      </w:pPr>
      <w:r>
        <w:rPr/>
        <w:t>“</w:t>
      </w:r>
      <w:r>
        <w:rPr>
          <w:rFonts w:ascii="Times New Roman" w:hAnsi="Times New Roman"/>
          <w:b/>
          <w:i/>
          <w:sz w:val="20"/>
        </w:rPr>
        <w:t>Lock-Up Period</w:t>
      </w:r>
      <w:r>
        <w:rPr>
          <w:rFonts w:ascii="Times New Roman" w:hAnsi="Times New Roman"/>
          <w:sz w:val="20"/>
        </w:rPr>
        <w:t xml:space="preserve">” shall mean (a) with respect to the Management Team and their respective Permitted Transferees, the lock-up period specified with respect to a party in the Management Team Lock-Up Agreement, (b) with respect to the Teamshares Holders and their respective Permitted Transferees, the lock-up period specified with respect to a party in the Teamshares Holder Lock-Up Agreement, (c) with respect to the Sponsor Holders and their respective Permitted Transferees, the lock-up period specified with respect to a party in the Insider Letter Agreement and (d) with respect to the Other Holders and their respective Permitted Transferees, the lock-up period to be specified in their respective lock-up agreements. </w:t>
      </w:r>
    </w:p>
    <w:p>
      <w:pPr>
        <w:pStyle w:val="TextBody"/>
        <w:bidi w:val="0"/>
        <w:spacing w:before="240" w:after="0"/>
        <w:jc w:val="left"/>
        <w:rPr/>
      </w:pPr>
      <w:r>
        <w:rPr/>
        <w:t>“</w:t>
      </w:r>
      <w:r>
        <w:rPr>
          <w:rFonts w:ascii="Times New Roman" w:hAnsi="Times New Roman"/>
          <w:b/>
          <w:i/>
          <w:sz w:val="20"/>
        </w:rPr>
        <w:t>Management Team</w:t>
      </w:r>
      <w:r>
        <w:rPr>
          <w:rFonts w:ascii="Times New Roman" w:hAnsi="Times New Roman"/>
          <w:sz w:val="20"/>
        </w:rPr>
        <w:t xml:space="preserve">” shall have the meaning given in the Merger Agreement. </w:t>
      </w:r>
    </w:p>
    <w:p>
      <w:pPr>
        <w:pStyle w:val="TextBody"/>
        <w:bidi w:val="0"/>
        <w:spacing w:before="240" w:after="0"/>
        <w:jc w:val="left"/>
        <w:rPr/>
      </w:pPr>
      <w:r>
        <w:rPr/>
        <w:t>“</w:t>
      </w:r>
      <w:r>
        <w:rPr>
          <w:rFonts w:ascii="Times New Roman" w:hAnsi="Times New Roman"/>
          <w:b/>
          <w:i/>
          <w:sz w:val="20"/>
        </w:rPr>
        <w:t>Management Team Lock-Up Agreement</w:t>
      </w:r>
      <w:r>
        <w:rPr>
          <w:rFonts w:ascii="Times New Roman" w:hAnsi="Times New Roman"/>
          <w:sz w:val="20"/>
        </w:rPr>
        <w:t xml:space="preserve">” means the lock-up agreement, dated November 14, 2025, entered into by the Company and the Management Team. </w:t>
      </w:r>
    </w:p>
    <w:p>
      <w:pPr>
        <w:pStyle w:val="TextBody"/>
        <w:bidi w:val="0"/>
        <w:spacing w:before="240" w:after="0"/>
        <w:jc w:val="left"/>
        <w:rPr/>
      </w:pPr>
      <w:r>
        <w:rPr/>
        <w:t>“</w:t>
      </w:r>
      <w:r>
        <w:rPr>
          <w:rFonts w:ascii="Times New Roman" w:hAnsi="Times New Roman"/>
          <w:b/>
          <w:i/>
          <w:sz w:val="20"/>
        </w:rPr>
        <w:t>Merger Agreement</w:t>
      </w:r>
      <w:r>
        <w:rPr>
          <w:rFonts w:ascii="Times New Roman" w:hAnsi="Times New Roman"/>
          <w:sz w:val="20"/>
        </w:rPr>
        <w:t xml:space="preserve">” shall have the meaning given in the Recitals hereto. </w:t>
      </w:r>
    </w:p>
    <w:p>
      <w:pPr>
        <w:pStyle w:val="TextBody"/>
        <w:bidi w:val="0"/>
        <w:spacing w:before="240" w:after="0"/>
        <w:jc w:val="left"/>
        <w:rPr/>
      </w:pPr>
      <w:r>
        <w:rPr/>
        <w:t>“</w:t>
      </w:r>
      <w:r>
        <w:rPr>
          <w:rFonts w:ascii="Times New Roman" w:hAnsi="Times New Roman"/>
          <w:b/>
          <w:i/>
          <w:sz w:val="20"/>
        </w:rPr>
        <w:t>Maximum Number of Securities</w:t>
      </w:r>
      <w:r>
        <w:rPr>
          <w:rFonts w:ascii="Times New Roman" w:hAnsi="Times New Roman"/>
          <w:sz w:val="20"/>
        </w:rPr>
        <w:t xml:space="preserve">” shall have the meaning given in </w:t>
      </w:r>
      <w:r>
        <w:rPr>
          <w:rFonts w:ascii="Times New Roman" w:hAnsi="Times New Roman"/>
          <w:sz w:val="20"/>
          <w:u w:val="single"/>
        </w:rPr>
        <w:t>Section 2.1.5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Minimum Takedown Threshold</w:t>
      </w:r>
      <w:r>
        <w:rPr>
          <w:rFonts w:ascii="Times New Roman" w:hAnsi="Times New Roman"/>
          <w:sz w:val="20"/>
        </w:rPr>
        <w:t xml:space="preserve">” shall have the meaning given in </w:t>
      </w:r>
      <w:r>
        <w:rPr>
          <w:rFonts w:ascii="Times New Roman" w:hAnsi="Times New Roman"/>
          <w:sz w:val="20"/>
          <w:u w:val="single"/>
        </w:rPr>
        <w:t>Section 2.1.4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Misstatement</w:t>
      </w:r>
      <w:r>
        <w:rPr>
          <w:rFonts w:ascii="Times New Roman" w:hAnsi="Times New Roman"/>
          <w:sz w:val="20"/>
        </w:rPr>
        <w:t xml:space="preserve">”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 </w:t>
      </w:r>
    </w:p>
    <w:p>
      <w:pPr>
        <w:pStyle w:val="TextBody"/>
        <w:bidi w:val="0"/>
        <w:spacing w:before="240" w:after="0"/>
        <w:jc w:val="left"/>
        <w:rPr/>
      </w:pPr>
      <w:r>
        <w:rPr/>
        <w:t>“</w:t>
      </w:r>
      <w:r>
        <w:rPr>
          <w:rFonts w:ascii="Times New Roman" w:hAnsi="Times New Roman"/>
          <w:b/>
          <w:i/>
          <w:sz w:val="20"/>
        </w:rPr>
        <w:t>Original Registrable Securities</w:t>
      </w:r>
      <w:r>
        <w:rPr>
          <w:rFonts w:ascii="Times New Roman" w:hAnsi="Times New Roman"/>
          <w:sz w:val="20"/>
        </w:rPr>
        <w:t xml:space="preserve">” shall have the meaning given in the Recitals hereto. </w:t>
      </w:r>
    </w:p>
    <w:p>
      <w:pPr>
        <w:pStyle w:val="TextBody"/>
        <w:bidi w:val="0"/>
        <w:spacing w:before="240" w:after="0"/>
        <w:jc w:val="left"/>
        <w:rPr/>
      </w:pPr>
      <w:r>
        <w:rPr/>
        <w:t>“</w:t>
      </w:r>
      <w:r>
        <w:rPr>
          <w:rFonts w:ascii="Times New Roman" w:hAnsi="Times New Roman"/>
          <w:b/>
          <w:i/>
          <w:sz w:val="20"/>
        </w:rPr>
        <w:t>Original RRA</w:t>
      </w:r>
      <w:r>
        <w:rPr>
          <w:rFonts w:ascii="Times New Roman" w:hAnsi="Times New Roman"/>
          <w:sz w:val="20"/>
        </w:rPr>
        <w:t xml:space="preserve">” shall have the meaning given in the Recitals hereto. </w:t>
      </w:r>
    </w:p>
    <w:p>
      <w:pPr>
        <w:pStyle w:val="TextBody"/>
        <w:bidi w:val="0"/>
        <w:spacing w:before="240" w:after="0"/>
        <w:jc w:val="left"/>
        <w:rPr/>
      </w:pPr>
      <w:r>
        <w:rPr/>
        <w:t>“</w:t>
      </w:r>
      <w:r>
        <w:rPr>
          <w:rFonts w:ascii="Times New Roman" w:hAnsi="Times New Roman"/>
          <w:b/>
          <w:i/>
          <w:sz w:val="20"/>
        </w:rPr>
        <w:t>Other Coordinated Offering</w:t>
      </w:r>
      <w:r>
        <w:rPr>
          <w:rFonts w:ascii="Times New Roman" w:hAnsi="Times New Roman"/>
          <w:sz w:val="20"/>
        </w:rPr>
        <w:t xml:space="preserve">” shall have the meaning given in </w:t>
      </w:r>
      <w:r>
        <w:rPr>
          <w:rFonts w:ascii="Times New Roman" w:hAnsi="Times New Roman"/>
          <w:sz w:val="20"/>
          <w:u w:val="single"/>
        </w:rPr>
        <w:t>Section 2.4.1</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Permitted Transferees</w:t>
      </w:r>
      <w:r>
        <w:rPr>
          <w:rFonts w:ascii="Times New Roman" w:hAnsi="Times New Roman"/>
          <w:sz w:val="20"/>
        </w:rPr>
        <w:t xml:space="preserve">” means persons to whom a holder of Registrable Securities is permitted to transfer such Registrable Securities prior to the expiration of the applicable Lock-Up Period pursuant to the applicable Lock-Up Agreement.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 </w:t>
      </w:r>
    </w:p>
    <w:p>
      <w:pPr>
        <w:pStyle w:val="TextBody"/>
        <w:bidi w:val="0"/>
        <w:spacing w:before="240" w:after="0"/>
        <w:jc w:val="left"/>
        <w:rPr/>
      </w:pPr>
      <w:r>
        <w:rPr/>
        <w:t>“</w:t>
      </w:r>
      <w:r>
        <w:rPr>
          <w:rFonts w:ascii="Times New Roman" w:hAnsi="Times New Roman"/>
          <w:b/>
          <w:i/>
          <w:sz w:val="20"/>
        </w:rPr>
        <w:t>Piggyback Registration</w:t>
      </w:r>
      <w:r>
        <w:rPr>
          <w:rFonts w:ascii="Times New Roman" w:hAnsi="Times New Roman"/>
          <w:sz w:val="20"/>
        </w:rPr>
        <w:t xml:space="preserve">” shall have the meaning given in </w:t>
      </w:r>
      <w:r>
        <w:rPr>
          <w:rFonts w:ascii="Times New Roman" w:hAnsi="Times New Roman"/>
          <w:sz w:val="20"/>
          <w:u w:val="single"/>
        </w:rPr>
        <w:t>Section 2.2.1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Prospectus</w:t>
      </w:r>
      <w:r>
        <w:rPr>
          <w:rFonts w:ascii="Times New Roman" w:hAnsi="Times New Roman"/>
          <w:sz w:val="20"/>
        </w:rPr>
        <w:t xml:space="preserve">” shall mean the prospectus included in any Registration Statement, as supplemented by any and all prospectus supplements and as amended by any and all post-effective amendments and including all material incorporated by reference in such prospectus. </w:t>
      </w:r>
    </w:p>
    <w:p>
      <w:pPr>
        <w:pStyle w:val="TextBody"/>
        <w:bidi w:val="0"/>
        <w:spacing w:before="240" w:after="0"/>
        <w:jc w:val="left"/>
        <w:rPr/>
      </w:pPr>
      <w:r>
        <w:rPr/>
        <w:t>“</w:t>
      </w:r>
      <w:r>
        <w:rPr>
          <w:rFonts w:ascii="Times New Roman" w:hAnsi="Times New Roman"/>
          <w:b/>
          <w:i/>
          <w:sz w:val="20"/>
        </w:rPr>
        <w:t>Registrable Security</w:t>
      </w:r>
      <w:r>
        <w:rPr>
          <w:rFonts w:ascii="Times New Roman" w:hAnsi="Times New Roman"/>
          <w:sz w:val="20"/>
        </w:rPr>
        <w:t>” shall mean (i) any outstanding shares of Common Stock held by a Holder immediately following the Closing, (ii) any shares of Common Stock that may be acquired by Holders upon the exercise, conversion or redemption of any other security of the Company or other right to acquire Common Stock held by a Holder immediately following the Closing, including, for the avoidance of doubt, shares of Common Stock issuable upon (A) the exchange or conversion of shares of Legacy Teamshares’ Voting Preferred Stock and Non-Voting Preferred Stock (together, the “</w:t>
      </w:r>
      <w:r>
        <w:rPr>
          <w:rFonts w:ascii="Times New Roman" w:hAnsi="Times New Roman"/>
          <w:b/>
          <w:i/>
          <w:sz w:val="20"/>
        </w:rPr>
        <w:t>Preferred Stock</w:t>
      </w:r>
      <w:r>
        <w:rPr>
          <w:rFonts w:ascii="Times New Roman" w:hAnsi="Times New Roman"/>
          <w:sz w:val="20"/>
        </w:rPr>
        <w:t xml:space="preserve">”), (B) the exercise of the Assumed Options and (C) the exercise of any Legacy Teamshares Convertible Securities, (iii) any outstanding shares of Common Stock or any other equity security of the Company held by a Holder following the date hereof to the extent that such securities are “restricted securities” (as defined in Rule 144) or are otherwise held by an “affiliate” (as defined in Rule 144) of the Company and (iv) any other equity security of the Company issued or issuable with respect to any securities referenced in </w:t>
      </w:r>
      <w:r>
        <w:rPr>
          <w:rFonts w:ascii="Times New Roman" w:hAnsi="Times New Roman"/>
          <w:sz w:val="20"/>
          <w:u w:val="single"/>
        </w:rPr>
        <w:t>clause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above by way of a stock dividend or stock split or in connection with a combination of shares, recapitalization, merger, consolidation, spin-off, reorganization or similar transaction; </w:t>
      </w:r>
      <w:r>
        <w:rPr>
          <w:rFonts w:ascii="Times New Roman" w:hAnsi="Times New Roman"/>
          <w:i/>
          <w:sz w:val="20"/>
        </w:rPr>
        <w:t>provided, however</w:t>
      </w:r>
      <w:r>
        <w:rPr>
          <w:rFonts w:ascii="Times New Roman" w:hAnsi="Times New Roman"/>
          <w:sz w:val="20"/>
        </w:rPr>
        <w:t xml:space="preserve">, that, as to any particular Registrable Security, such securities shall cease to be Registrable Securities upon the earliest to occur of the following events: (i) a Registration Statement with respect to the sale of such securities shall have become effective under the Securities Act and such securities shall have been sold, transferred, disposed of or exchanged in accordance with such Registration Statement by the applicable Holder to a Person that is not an “affiliate” (as defined in Rule 144) of the Company and new certificates for such securities not bearing (or book-entry positions not subject to) a legend restricting further transfer shall have been delivered by the Company and subsequent public distribution of such securities shall not require registration under the Securities Act; (ii) such securities shall have been otherwise transferred, new certificates for such securities not bearing (or book-entry positions not subject to) a legend restricting further transfer shall have been delivered by the Company and subsequent public distribution of such securities shall not require registration under the Securities Act; (iii) such securities shall have ceased to be outstanding; (iv) such securities may be sold without registration pursuant to Rule 144 (but with no volume or other restrictions or limitations including as to manner or timing of sale or current public information requirements); and (v) such securities have been sold to, or through, a broker, dealer or underwriter in a public distribution or other public securities transaction. </w:t>
      </w:r>
    </w:p>
    <w:p>
      <w:pPr>
        <w:pStyle w:val="TextBody"/>
        <w:bidi w:val="0"/>
        <w:spacing w:before="240" w:after="0"/>
        <w:jc w:val="left"/>
        <w:rPr/>
      </w:pPr>
      <w:r>
        <w:rPr/>
        <w:t>“</w:t>
      </w:r>
      <w:r>
        <w:rPr>
          <w:rFonts w:ascii="Times New Roman" w:hAnsi="Times New Roman"/>
          <w:b/>
          <w:i/>
          <w:sz w:val="20"/>
        </w:rPr>
        <w:t>Registration</w:t>
      </w:r>
      <w:r>
        <w:rPr>
          <w:rFonts w:ascii="Times New Roman" w:hAnsi="Times New Roman"/>
          <w:sz w:val="20"/>
        </w:rPr>
        <w:t xml:space="preserve">” shall mean a registration, including any related Shelf Takedown, effected by preparing and filing a Registration Statement, Prospectus or similar document in compliance with the requirements of the Securities Act, and the applicable rules and regulations promulgated thereunder, and such registration statement becoming effective.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Registration Expenses</w:t>
      </w:r>
      <w:r>
        <w:rPr>
          <w:rFonts w:ascii="Times New Roman" w:hAnsi="Times New Roman"/>
          <w:sz w:val="20"/>
        </w:rPr>
        <w:t xml:space="preserve">” shall mean the documented, out-of-pocket expenses of a Registration, including, without limitation, the following: </w:t>
      </w:r>
    </w:p>
    <w:p>
      <w:pPr>
        <w:pStyle w:val="TextBody"/>
        <w:bidi w:val="0"/>
        <w:spacing w:before="240" w:after="0"/>
        <w:jc w:val="left"/>
        <w:rPr>
          <w:rFonts w:ascii="Times New Roman" w:hAnsi="Times New Roman"/>
          <w:sz w:val="20"/>
        </w:rPr>
      </w:pPr>
      <w:r>
        <w:rPr>
          <w:rFonts w:ascii="Times New Roman" w:hAnsi="Times New Roman"/>
          <w:sz w:val="20"/>
        </w:rPr>
        <w:t xml:space="preserve">1. all registration, listing and filing fees (including fees with respect to filings required to be made with FINRA) and any national securities exchange on which the Common Stock is then listed; </w:t>
      </w:r>
    </w:p>
    <w:p>
      <w:pPr>
        <w:pStyle w:val="TextBody"/>
        <w:bidi w:val="0"/>
        <w:spacing w:before="240" w:after="0"/>
        <w:jc w:val="left"/>
        <w:rPr>
          <w:rFonts w:ascii="Times New Roman" w:hAnsi="Times New Roman"/>
          <w:sz w:val="20"/>
        </w:rPr>
      </w:pPr>
      <w:r>
        <w:rPr>
          <w:rFonts w:ascii="Times New Roman" w:hAnsi="Times New Roman"/>
          <w:sz w:val="20"/>
        </w:rPr>
        <w:t xml:space="preserve">2. fees and expenses of compliance with securities or blue sky laws (including reasonable fees and disbursements of counsel for the Underwriters in connection with blue sky qualifications of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3. printing, messenger, telephone and delivery expenses; </w:t>
      </w:r>
    </w:p>
    <w:p>
      <w:pPr>
        <w:pStyle w:val="TextBody"/>
        <w:bidi w:val="0"/>
        <w:spacing w:before="240" w:after="0"/>
        <w:jc w:val="left"/>
        <w:rPr>
          <w:rFonts w:ascii="Times New Roman" w:hAnsi="Times New Roman"/>
          <w:sz w:val="20"/>
        </w:rPr>
      </w:pPr>
      <w:r>
        <w:rPr>
          <w:rFonts w:ascii="Times New Roman" w:hAnsi="Times New Roman"/>
          <w:sz w:val="20"/>
        </w:rPr>
        <w:t xml:space="preserve">4. reasonable fees and disbursements of counsel for the Company; </w:t>
      </w:r>
    </w:p>
    <w:p>
      <w:pPr>
        <w:pStyle w:val="TextBody"/>
        <w:bidi w:val="0"/>
        <w:spacing w:before="240" w:after="0"/>
        <w:jc w:val="left"/>
        <w:rPr>
          <w:rFonts w:ascii="Times New Roman" w:hAnsi="Times New Roman"/>
          <w:sz w:val="20"/>
        </w:rPr>
      </w:pPr>
      <w:r>
        <w:rPr>
          <w:rFonts w:ascii="Times New Roman" w:hAnsi="Times New Roman"/>
          <w:sz w:val="20"/>
        </w:rPr>
        <w:t xml:space="preserve">5. reasonable fees and disbursements of all independent registered public accountants of the Company incurred specifically in connection with such Registration; and </w:t>
      </w:r>
    </w:p>
    <w:p>
      <w:pPr>
        <w:pStyle w:val="TextBody"/>
        <w:bidi w:val="0"/>
        <w:spacing w:before="240" w:after="0"/>
        <w:jc w:val="left"/>
        <w:rPr>
          <w:rFonts w:ascii="Times New Roman" w:hAnsi="Times New Roman"/>
          <w:sz w:val="20"/>
        </w:rPr>
      </w:pPr>
      <w:r>
        <w:rPr>
          <w:rFonts w:ascii="Times New Roman" w:hAnsi="Times New Roman"/>
          <w:sz w:val="20"/>
        </w:rPr>
        <w:t xml:space="preserve">6. reasonable fees and expenses of one (1) legal counsel selected by the majority in interest of the Demanding Holders in an Underwritten Offering or Other Coordinated Offering with the Company’s reasonable approval, not to be unreasonably withheld, conditioned or delayed, and not to exceed $40,000 in the aggregate per Registration (or $50,000 if such counsel is required to deliver a legal opinion to Underwriters). </w:t>
      </w:r>
    </w:p>
    <w:p>
      <w:pPr>
        <w:pStyle w:val="TextBody"/>
        <w:bidi w:val="0"/>
        <w:spacing w:before="240" w:after="0"/>
        <w:jc w:val="left"/>
        <w:rPr/>
      </w:pPr>
      <w:r>
        <w:rPr/>
        <w:t>“</w:t>
      </w:r>
      <w:r>
        <w:rPr>
          <w:rFonts w:ascii="Times New Roman" w:hAnsi="Times New Roman"/>
          <w:b/>
          <w:i/>
          <w:sz w:val="20"/>
        </w:rPr>
        <w:t>Registration Statement</w:t>
      </w:r>
      <w:r>
        <w:rPr>
          <w:rFonts w:ascii="Times New Roman" w:hAnsi="Times New Roman"/>
          <w:sz w:val="20"/>
        </w:rPr>
        <w:t xml:space="preserve">” shall mean any registration statement that covers Registrable Securities pursuant to the provisions of this Agreement, including any Shelf, and, in each case, including the Prospectus included in such registration statement, amendments (including post-effective amendments) and supplements to such registration statement and all exhibits to, and all material incorporated by reference in, such registration statement. </w:t>
      </w:r>
    </w:p>
    <w:p>
      <w:pPr>
        <w:pStyle w:val="TextBody"/>
        <w:bidi w:val="0"/>
        <w:spacing w:before="240" w:after="0"/>
        <w:jc w:val="left"/>
        <w:rPr/>
      </w:pPr>
      <w:r>
        <w:rPr/>
        <w:t>“</w:t>
      </w:r>
      <w:r>
        <w:rPr>
          <w:rFonts w:ascii="Times New Roman" w:hAnsi="Times New Roman"/>
          <w:b/>
          <w:i/>
          <w:sz w:val="20"/>
        </w:rPr>
        <w:t>Requesting Holders</w:t>
      </w:r>
      <w:r>
        <w:rPr>
          <w:rFonts w:ascii="Times New Roman" w:hAnsi="Times New Roman"/>
          <w:sz w:val="20"/>
        </w:rPr>
        <w:t xml:space="preserve">” shall have the meaning given in </w:t>
      </w:r>
      <w:r>
        <w:rPr>
          <w:rFonts w:ascii="Times New Roman" w:hAnsi="Times New Roman"/>
          <w:sz w:val="20"/>
          <w:u w:val="single"/>
        </w:rPr>
        <w:t>Section 2.1.5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Rule 144</w:t>
      </w:r>
      <w:r>
        <w:rPr>
          <w:rFonts w:ascii="Times New Roman" w:hAnsi="Times New Roman"/>
          <w:sz w:val="20"/>
        </w:rPr>
        <w:t xml:space="preserve">” shall mean Rule 144 promulgated under the Securities Act, as amended from time to time, or any similar successor rule thereto that may be promulgated by the Commission. </w:t>
      </w:r>
    </w:p>
    <w:p>
      <w:pPr>
        <w:pStyle w:val="TextBody"/>
        <w:bidi w:val="0"/>
        <w:spacing w:before="240" w:after="0"/>
        <w:jc w:val="left"/>
        <w:rPr/>
      </w:pPr>
      <w:r>
        <w:rPr/>
        <w:t>“</w:t>
      </w:r>
      <w:r>
        <w:rPr>
          <w:rFonts w:ascii="Times New Roman" w:hAnsi="Times New Roman"/>
          <w:b/>
          <w:i/>
          <w:sz w:val="20"/>
        </w:rPr>
        <w:t>Securities Act</w:t>
      </w:r>
      <w:r>
        <w:rPr>
          <w:rFonts w:ascii="Times New Roman" w:hAnsi="Times New Roman"/>
          <w:sz w:val="20"/>
        </w:rPr>
        <w:t xml:space="preserve">” shall mean the U.S. Securities Act of 1933, as amended from time to time. </w:t>
      </w:r>
    </w:p>
    <w:p>
      <w:pPr>
        <w:pStyle w:val="TextBody"/>
        <w:bidi w:val="0"/>
        <w:spacing w:before="240" w:after="0"/>
        <w:jc w:val="left"/>
        <w:rPr/>
      </w:pPr>
      <w:r>
        <w:rPr/>
        <w:t>“</w:t>
      </w:r>
      <w:r>
        <w:rPr>
          <w:rFonts w:ascii="Times New Roman" w:hAnsi="Times New Roman"/>
          <w:b/>
          <w:i/>
          <w:sz w:val="20"/>
        </w:rPr>
        <w:t>Shelf</w:t>
      </w:r>
      <w:r>
        <w:rPr>
          <w:rFonts w:ascii="Times New Roman" w:hAnsi="Times New Roman"/>
          <w:sz w:val="20"/>
        </w:rPr>
        <w:t xml:space="preserve">” shall mean the Form S-1 Shelf, the Form S-3 Shelf, or any Subsequent Shelf Registration, as the case may be. </w:t>
      </w:r>
    </w:p>
    <w:p>
      <w:pPr>
        <w:pStyle w:val="TextBody"/>
        <w:bidi w:val="0"/>
        <w:spacing w:before="240" w:after="0"/>
        <w:jc w:val="left"/>
        <w:rPr/>
      </w:pPr>
      <w:r>
        <w:rPr/>
        <w:t>“</w:t>
      </w:r>
      <w:r>
        <w:rPr>
          <w:rFonts w:ascii="Times New Roman" w:hAnsi="Times New Roman"/>
          <w:b/>
          <w:i/>
          <w:sz w:val="20"/>
        </w:rPr>
        <w:t>Shelf Registration</w:t>
      </w:r>
      <w:r>
        <w:rPr>
          <w:rFonts w:ascii="Times New Roman" w:hAnsi="Times New Roman"/>
          <w:sz w:val="20"/>
        </w:rPr>
        <w:t xml:space="preserve">” shall mean a registration of securities pursuant to a registration statement filed with the Commission in accordance with and pursuant to Rule 415 promulgated under the Securities Act, as amended from time to time, or any similar successor rule thereto that may be promulgated by the Commission. </w:t>
      </w:r>
    </w:p>
    <w:p>
      <w:pPr>
        <w:pStyle w:val="TextBody"/>
        <w:bidi w:val="0"/>
        <w:spacing w:before="240" w:after="0"/>
        <w:jc w:val="left"/>
        <w:rPr/>
      </w:pPr>
      <w:r>
        <w:rPr/>
        <w:t>“</w:t>
      </w:r>
      <w:r>
        <w:rPr>
          <w:rFonts w:ascii="Times New Roman" w:hAnsi="Times New Roman"/>
          <w:b/>
          <w:i/>
          <w:sz w:val="20"/>
        </w:rPr>
        <w:t>Shelf Takedown</w:t>
      </w:r>
      <w:r>
        <w:rPr>
          <w:rFonts w:ascii="Times New Roman" w:hAnsi="Times New Roman"/>
          <w:sz w:val="20"/>
        </w:rPr>
        <w:t xml:space="preserve">” shall mean an Underwritten Shelf Takedown or any proposed transfer or sale using a Registration Statement, including a Piggyback Registration. </w:t>
      </w:r>
    </w:p>
    <w:p>
      <w:pPr>
        <w:pStyle w:val="TextBody"/>
        <w:bidi w:val="0"/>
        <w:spacing w:before="240" w:after="0"/>
        <w:jc w:val="left"/>
        <w:rPr/>
      </w:pPr>
      <w:r>
        <w:rPr/>
        <w:t>“</w:t>
      </w:r>
      <w:r>
        <w:rPr>
          <w:rFonts w:ascii="Times New Roman" w:hAnsi="Times New Roman"/>
          <w:b/>
          <w:i/>
          <w:sz w:val="20"/>
        </w:rPr>
        <w:t>Sponsor</w:t>
      </w:r>
      <w:r>
        <w:rPr>
          <w:rFonts w:ascii="Times New Roman" w:hAnsi="Times New Roman"/>
          <w:sz w:val="20"/>
        </w:rPr>
        <w:t xml:space="preserve">” shall have the meaning given in the Preamble hereto. </w:t>
      </w:r>
    </w:p>
    <w:p>
      <w:pPr>
        <w:pStyle w:val="TextBody"/>
        <w:bidi w:val="0"/>
        <w:spacing w:before="240" w:after="0"/>
        <w:jc w:val="left"/>
        <w:rPr/>
      </w:pPr>
      <w:r>
        <w:rPr/>
        <w:t>“</w:t>
      </w:r>
      <w:r>
        <w:rPr>
          <w:rFonts w:ascii="Times New Roman" w:hAnsi="Times New Roman"/>
          <w:b/>
          <w:i/>
          <w:sz w:val="20"/>
        </w:rPr>
        <w:t>Sponsor Holders</w:t>
      </w:r>
      <w:r>
        <w:rPr>
          <w:rFonts w:ascii="Times New Roman" w:hAnsi="Times New Roman"/>
          <w:sz w:val="20"/>
        </w:rPr>
        <w:t xml:space="preserve">” shall have the meaning given in the Preamble hereto. </w:t>
      </w:r>
    </w:p>
    <w:p>
      <w:pPr>
        <w:pStyle w:val="TextBody"/>
        <w:bidi w:val="0"/>
        <w:spacing w:before="240" w:after="0"/>
        <w:jc w:val="left"/>
        <w:rPr/>
      </w:pPr>
      <w:r>
        <w:rPr/>
        <w:t>“</w:t>
      </w:r>
      <w:r>
        <w:rPr>
          <w:rFonts w:ascii="Times New Roman" w:hAnsi="Times New Roman"/>
          <w:b/>
          <w:i/>
          <w:sz w:val="20"/>
        </w:rPr>
        <w:t>Sponsor Majority Holders</w:t>
      </w:r>
      <w:r>
        <w:rPr>
          <w:rFonts w:ascii="Times New Roman" w:hAnsi="Times New Roman"/>
          <w:sz w:val="20"/>
        </w:rPr>
        <w:t xml:space="preserve">” shall mean the Sponsor Holders holding in the aggregate a majority of the Registrable Securities then held by the Sponsor Holders. </w:t>
      </w:r>
    </w:p>
    <w:p>
      <w:pPr>
        <w:pStyle w:val="TextBody"/>
        <w:bidi w:val="0"/>
        <w:spacing w:before="240" w:after="0"/>
        <w:jc w:val="left"/>
        <w:rPr/>
      </w:pPr>
      <w:r>
        <w:rPr/>
        <w:t>“</w:t>
      </w:r>
      <w:r>
        <w:rPr>
          <w:rFonts w:ascii="Times New Roman" w:hAnsi="Times New Roman"/>
          <w:b/>
          <w:i/>
          <w:sz w:val="20"/>
        </w:rPr>
        <w:t>Subsequent Shelf Registration</w:t>
      </w:r>
      <w:r>
        <w:rPr>
          <w:rFonts w:ascii="Times New Roman" w:hAnsi="Times New Roman"/>
          <w:sz w:val="20"/>
        </w:rPr>
        <w:t xml:space="preserve">” shall have the meaning given in </w:t>
      </w:r>
      <w:r>
        <w:rPr>
          <w:rFonts w:ascii="Times New Roman" w:hAnsi="Times New Roman"/>
          <w:sz w:val="20"/>
          <w:u w:val="single"/>
        </w:rPr>
        <w:t>Section 2.1.2</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Teamshares Holders</w:t>
      </w:r>
      <w:r>
        <w:rPr>
          <w:rFonts w:ascii="Times New Roman" w:hAnsi="Times New Roman"/>
          <w:sz w:val="20"/>
        </w:rPr>
        <w:t xml:space="preserve">” shall have the meaning given in the Preamble hereto. </w:t>
      </w:r>
    </w:p>
    <w:p>
      <w:pPr>
        <w:pStyle w:val="TextBody"/>
        <w:bidi w:val="0"/>
        <w:spacing w:before="240" w:after="0"/>
        <w:jc w:val="left"/>
        <w:rPr/>
      </w:pPr>
      <w:r>
        <w:rPr/>
        <w:t>“</w:t>
      </w:r>
      <w:r>
        <w:rPr>
          <w:rFonts w:ascii="Times New Roman" w:hAnsi="Times New Roman"/>
          <w:b/>
          <w:i/>
          <w:sz w:val="20"/>
        </w:rPr>
        <w:t>Teamshares Holders Lock-Up Agreement</w:t>
      </w:r>
      <w:r>
        <w:rPr>
          <w:rFonts w:ascii="Times New Roman" w:hAnsi="Times New Roman"/>
          <w:sz w:val="20"/>
        </w:rPr>
        <w:t xml:space="preserve">” means the lock-up agreement, dated November 14, 2025, entered into by the Company and the Teamshares Holders. </w:t>
      </w:r>
    </w:p>
    <w:p>
      <w:pPr>
        <w:pStyle w:val="TextBody"/>
        <w:bidi w:val="0"/>
        <w:spacing w:before="240" w:after="0"/>
        <w:jc w:val="left"/>
        <w:rPr/>
      </w:pPr>
      <w:r>
        <w:rPr/>
        <w:t>“</w:t>
      </w:r>
      <w:r>
        <w:rPr>
          <w:rFonts w:ascii="Times New Roman" w:hAnsi="Times New Roman"/>
          <w:b/>
          <w:i/>
          <w:sz w:val="20"/>
        </w:rPr>
        <w:t>Transfer</w:t>
      </w:r>
      <w:r>
        <w:rPr>
          <w:rFonts w:ascii="Times New Roman" w:hAnsi="Times New Roman"/>
          <w:sz w:val="20"/>
        </w:rPr>
        <w:t xml:space="preserve">” shall mean the (i) sale or assignment of, offer to sell, contract or agreement to sell, hypothecation,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Underwriter</w:t>
      </w:r>
      <w:r>
        <w:rPr>
          <w:rFonts w:ascii="Times New Roman" w:hAnsi="Times New Roman"/>
          <w:sz w:val="20"/>
        </w:rPr>
        <w:t xml:space="preserve">” shall mean a securities dealer who purchases any Registrable Securities as principal in an Underwritten Offering and not as part of such dealer’s market-making activities. </w:t>
      </w:r>
    </w:p>
    <w:p>
      <w:pPr>
        <w:pStyle w:val="TextBody"/>
        <w:bidi w:val="0"/>
        <w:spacing w:before="240" w:after="0"/>
        <w:jc w:val="left"/>
        <w:rPr/>
      </w:pPr>
      <w:r>
        <w:rPr/>
        <w:t>“</w:t>
      </w:r>
      <w:r>
        <w:rPr>
          <w:rFonts w:ascii="Times New Roman" w:hAnsi="Times New Roman"/>
          <w:b/>
          <w:i/>
          <w:sz w:val="20"/>
        </w:rPr>
        <w:t>Underwritten Lock-Up Period</w:t>
      </w:r>
      <w:r>
        <w:rPr>
          <w:rFonts w:ascii="Times New Roman" w:hAnsi="Times New Roman"/>
          <w:sz w:val="20"/>
        </w:rPr>
        <w:t xml:space="preserve">” shall have the meaning given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Underwritten Registration</w:t>
      </w:r>
      <w:r>
        <w:rPr>
          <w:rFonts w:ascii="Times New Roman" w:hAnsi="Times New Roman"/>
          <w:sz w:val="20"/>
        </w:rPr>
        <w:t>” or “</w:t>
      </w:r>
      <w:r>
        <w:rPr>
          <w:rFonts w:ascii="Times New Roman" w:hAnsi="Times New Roman"/>
          <w:b/>
          <w:i/>
          <w:sz w:val="20"/>
        </w:rPr>
        <w:t>Underwritten Offering</w:t>
      </w:r>
      <w:r>
        <w:rPr>
          <w:rFonts w:ascii="Times New Roman" w:hAnsi="Times New Roman"/>
          <w:sz w:val="20"/>
        </w:rPr>
        <w:t xml:space="preserve">” shall mean a Registration in which securities of the Company are sold to an Underwriter in a firm commitment underwriting for distribution to the public. </w:t>
      </w:r>
    </w:p>
    <w:p>
      <w:pPr>
        <w:pStyle w:val="TextBody"/>
        <w:bidi w:val="0"/>
        <w:spacing w:before="240" w:after="0"/>
        <w:jc w:val="left"/>
        <w:rPr/>
      </w:pPr>
      <w:r>
        <w:rPr/>
        <w:t>“</w:t>
      </w:r>
      <w:r>
        <w:rPr>
          <w:rFonts w:ascii="Times New Roman" w:hAnsi="Times New Roman"/>
          <w:b/>
          <w:i/>
          <w:sz w:val="20"/>
        </w:rPr>
        <w:t>Underwritten Shelf Takedown</w:t>
      </w:r>
      <w:r>
        <w:rPr>
          <w:rFonts w:ascii="Times New Roman" w:hAnsi="Times New Roman"/>
          <w:sz w:val="20"/>
        </w:rPr>
        <w:t xml:space="preserve">” shall have the meaning given in </w:t>
      </w:r>
      <w:r>
        <w:rPr>
          <w:rFonts w:ascii="Times New Roman" w:hAnsi="Times New Roman"/>
          <w:sz w:val="20"/>
          <w:u w:val="single"/>
        </w:rPr>
        <w:t>Section 2.1.4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Withdrawal Notice</w:t>
      </w:r>
      <w:r>
        <w:rPr>
          <w:rFonts w:ascii="Times New Roman" w:hAnsi="Times New Roman"/>
          <w:sz w:val="20"/>
        </w:rPr>
        <w:t xml:space="preserve">” shall have the meaning given in </w:t>
      </w:r>
      <w:r>
        <w:rPr>
          <w:rFonts w:ascii="Times New Roman" w:hAnsi="Times New Roman"/>
          <w:sz w:val="20"/>
          <w:u w:val="single"/>
        </w:rPr>
        <w:t>Section 2.1.6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Yearly Limit</w:t>
      </w:r>
      <w:r>
        <w:rPr>
          <w:rFonts w:ascii="Times New Roman" w:hAnsi="Times New Roman"/>
          <w:sz w:val="20"/>
        </w:rPr>
        <w:t xml:space="preserve">” shall have the meaning given in </w:t>
      </w:r>
      <w:r>
        <w:rPr>
          <w:rFonts w:ascii="Times New Roman" w:hAnsi="Times New Roman"/>
          <w:sz w:val="20"/>
          <w:u w:val="single"/>
        </w:rPr>
        <w:t>Section 2.1.4</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REGISTRATIONS AND OFFERINGS </w:t>
      </w:r>
    </w:p>
    <w:p>
      <w:pPr>
        <w:pStyle w:val="TextBody"/>
        <w:bidi w:val="0"/>
        <w:spacing w:before="240" w:after="0"/>
        <w:jc w:val="left"/>
        <w:rPr>
          <w:rFonts w:ascii="Times New Roman" w:hAnsi="Times New Roman"/>
          <w:sz w:val="20"/>
        </w:rPr>
      </w:pPr>
      <w:r>
        <w:rPr>
          <w:rFonts w:ascii="Times New Roman" w:hAnsi="Times New Roman"/>
          <w:sz w:val="20"/>
        </w:rPr>
        <w:t>2.1 </w:t>
      </w:r>
      <w:r>
        <w:rPr>
          <w:rFonts w:ascii="Times New Roman" w:hAnsi="Times New Roman"/>
          <w:sz w:val="20"/>
          <w:u w:val="single"/>
        </w:rPr>
        <w:t>Shelf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2.1.1 </w:t>
      </w:r>
      <w:r>
        <w:rPr>
          <w:rFonts w:ascii="Times New Roman" w:hAnsi="Times New Roman"/>
          <w:sz w:val="20"/>
          <w:u w:val="single"/>
        </w:rPr>
        <w:t>Filing</w:t>
      </w:r>
      <w:r>
        <w:rPr>
          <w:rFonts w:ascii="Times New Roman" w:hAnsi="Times New Roman"/>
          <w:sz w:val="20"/>
        </w:rPr>
        <w:t xml:space="preserve">. The Company shall, subject to </w:t>
      </w:r>
      <w:r>
        <w:rPr>
          <w:rFonts w:ascii="Times New Roman" w:hAnsi="Times New Roman"/>
          <w:sz w:val="20"/>
          <w:u w:val="single"/>
        </w:rPr>
        <w:t>Section 3.4</w:t>
      </w:r>
      <w:r>
        <w:rPr>
          <w:rFonts w:ascii="Times New Roman" w:hAnsi="Times New Roman"/>
          <w:sz w:val="20"/>
        </w:rPr>
        <w:t>, submit or file within thirty (30) days of the Closing Date a Registration Statement for a Shelf Registration on Form S-1 (the “</w:t>
      </w:r>
      <w:r>
        <w:rPr>
          <w:rFonts w:ascii="Times New Roman" w:hAnsi="Times New Roman"/>
          <w:b/>
          <w:i/>
          <w:sz w:val="20"/>
        </w:rPr>
        <w:t>Form S-1 Shelf</w:t>
      </w:r>
      <w:r>
        <w:rPr>
          <w:rFonts w:ascii="Times New Roman" w:hAnsi="Times New Roman"/>
          <w:sz w:val="20"/>
        </w:rPr>
        <w:t>”) or, if the Company is eligible to use a Registration Statement on Form S-3, a Shelf Registration on Form S-3 (the “</w:t>
      </w:r>
      <w:r>
        <w:rPr>
          <w:rFonts w:ascii="Times New Roman" w:hAnsi="Times New Roman"/>
          <w:b/>
          <w:i/>
          <w:sz w:val="20"/>
        </w:rPr>
        <w:t>Form S-3 Shelf</w:t>
      </w:r>
      <w:r>
        <w:rPr>
          <w:rFonts w:ascii="Times New Roman" w:hAnsi="Times New Roman"/>
          <w:sz w:val="20"/>
        </w:rPr>
        <w:t>”, and together with the Form S-1 Shelf, each a “</w:t>
      </w:r>
      <w:r>
        <w:rPr>
          <w:rFonts w:ascii="Times New Roman" w:hAnsi="Times New Roman"/>
          <w:b/>
          <w:sz w:val="20"/>
        </w:rPr>
        <w:t>Shelf</w:t>
      </w:r>
      <w:r>
        <w:rPr>
          <w:rFonts w:ascii="Times New Roman" w:hAnsi="Times New Roman"/>
          <w:sz w:val="20"/>
        </w:rPr>
        <w:t xml:space="preserve">”), in each case, covering the resale of all Registrable Securities on a delayed or continuous basis and shall use its commercially reasonable efforts to have such Shelf declared effective as soon as reasonably practicable after the filing thereof, but no later than the earlier of (a) the ninetieth (90th) calendar day following the filing date thereof if the Commission notifies the Company that it will “review” the Registration Statement and (b) the fifth (5th) business day after the date the Company is notified (orally or in writing, whichever is earlier) by the Commission that the Registration Statement will not be “reviewed” or will not be subject to further review. Such Shelf shall provide for the resale of the Registrable Securities included therein pursuant to any method or combination of methods legally available to, and requested by, any Holder named therein. </w:t>
      </w:r>
    </w:p>
    <w:p>
      <w:pPr>
        <w:pStyle w:val="TextBody"/>
        <w:bidi w:val="0"/>
        <w:spacing w:before="240" w:after="0"/>
        <w:jc w:val="left"/>
        <w:rPr>
          <w:rFonts w:ascii="Times New Roman" w:hAnsi="Times New Roman"/>
          <w:sz w:val="20"/>
        </w:rPr>
      </w:pPr>
      <w:r>
        <w:rPr>
          <w:rFonts w:ascii="Times New Roman" w:hAnsi="Times New Roman"/>
          <w:sz w:val="20"/>
        </w:rPr>
        <w:t>Notwithstanding the foregoing, if, as a result of the application of Rule 415 under the Securities Act or any written or oral guidance, comments, requirements or requests of the staff of the Commission (collectively, “</w:t>
      </w:r>
      <w:r>
        <w:rPr>
          <w:rFonts w:ascii="Times New Roman" w:hAnsi="Times New Roman"/>
          <w:b/>
          <w:i/>
          <w:sz w:val="20"/>
        </w:rPr>
        <w:t>SEC Guidance</w:t>
      </w:r>
      <w:r>
        <w:rPr>
          <w:rFonts w:ascii="Times New Roman" w:hAnsi="Times New Roman"/>
          <w:sz w:val="20"/>
        </w:rPr>
        <w:t xml:space="preserve">”), the Commission requires that the number of Registrable Securities included on any Registration Statement be reduced, the Company shall use its commercially reasonable efforts to advocate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registration of as many Registrable Securities as permitted, and, to the extent a reduction is required notwithstanding such efforts, the number of Registrable Securities included shall be reduced on a pro rata basis among the Holders based on the number of Registrable Securities then held by such Holders, and the Company shall not be deemed in breach of this Agreement for failing to register all Registrable Securities in such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Sections 2.1.3</w:t>
      </w:r>
      <w:r>
        <w:rPr>
          <w:rFonts w:ascii="Times New Roman" w:hAnsi="Times New Roman"/>
          <w:sz w:val="20"/>
        </w:rPr>
        <w:t xml:space="preserve"> and </w:t>
      </w:r>
      <w:r>
        <w:rPr>
          <w:rFonts w:ascii="Times New Roman" w:hAnsi="Times New Roman"/>
          <w:sz w:val="20"/>
          <w:u w:val="single"/>
        </w:rPr>
        <w:t>3.4</w:t>
      </w:r>
      <w:r>
        <w:rPr>
          <w:rFonts w:ascii="Times New Roman" w:hAnsi="Times New Roman"/>
          <w:sz w:val="20"/>
        </w:rPr>
        <w:t xml:space="preserve">, the Company shall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provided that the Company’s obligations hereunder to a Holder are conditioned upon such Holder’s timely furnishing to the Company such information regarding such Holder and the intended method of disposition as the Company may reasonably request and that is required for use in connection with the Shelf. In the event the Company files a Form S-1 Shelf, the Company shall use its commercially reasonable efforts to convert the Form S-1 Shelf (and any Subsequent Shelf Registration) to a Form S-3 Shelf as soon as reasonably practicable after the Company is eligible to use Form S-3. </w:t>
      </w:r>
    </w:p>
    <w:p>
      <w:pPr>
        <w:pStyle w:val="TextBody"/>
        <w:bidi w:val="0"/>
        <w:spacing w:before="240" w:after="0"/>
        <w:jc w:val="left"/>
        <w:rPr>
          <w:rFonts w:ascii="Times New Roman" w:hAnsi="Times New Roman"/>
          <w:sz w:val="20"/>
        </w:rPr>
      </w:pPr>
      <w:r>
        <w:rPr>
          <w:rFonts w:ascii="Times New Roman" w:hAnsi="Times New Roman"/>
          <w:sz w:val="20"/>
        </w:rPr>
        <w:t>2.1.2 </w:t>
      </w:r>
      <w:r>
        <w:rPr>
          <w:rFonts w:ascii="Times New Roman" w:hAnsi="Times New Roman"/>
          <w:sz w:val="20"/>
          <w:u w:val="single"/>
        </w:rPr>
        <w:t>Subsequent Shelf Registration</w:t>
      </w:r>
      <w:r>
        <w:rPr>
          <w:rFonts w:ascii="Times New Roman" w:hAnsi="Times New Roman"/>
          <w:sz w:val="20"/>
        </w:rPr>
        <w:t xml:space="preserve">. If any Shelf ceases to be effective under the Securities Act for any reason at any time while Registrable Securities are still outstanding, the Company shall, subject to </w:t>
      </w:r>
      <w:r>
        <w:rPr>
          <w:rFonts w:ascii="Times New Roman" w:hAnsi="Times New Roman"/>
          <w:sz w:val="20"/>
          <w:u w:val="single"/>
        </w:rPr>
        <w:t>Section 3.4</w:t>
      </w:r>
      <w:r>
        <w:rPr>
          <w:rFonts w:ascii="Times New Roman" w:hAnsi="Times New Roman"/>
          <w:sz w:val="20"/>
        </w:rPr>
        <w:t>,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Times New Roman" w:hAnsi="Times New Roman"/>
          <w:b/>
          <w:i/>
          <w:sz w:val="20"/>
        </w:rPr>
        <w:t>Subsequent Shelf Registration</w:t>
      </w:r>
      <w:r>
        <w:rPr>
          <w:rFonts w:ascii="Times New Roman" w:hAnsi="Times New Roman"/>
          <w:sz w:val="20"/>
        </w:rPr>
        <w:t xml:space="preserve">”) registering the resale of all Registrable Securities under such Shelf (determined as of two (2) business days prior to such filing and, with respect to any securities issuable upon exercise, conversion or exchange of other securities, solely to the extent inclusion of such underlying securities is then permitted by the Commission and any applicable Commission guidance), and pursuant to any method or combination of methods legally available to, and requested by, any Holder named therein, in each case subject to applicable law and the Company’s reasonable approval of the plan of distribution; provided that nothing herein shall require the Company to include an “at-the-market” offering absent the Company’s consent. If a Subsequent Shelf Registration is filed, the Company shall use its commercially reasonable efforts to (i) cause such Subsequent Shelf Registration to become effective under the Securities Act as promptly as is reasonably practicable after the filing thereof (it being agreed that the Subsequent Shelf Registration shall be an automatic shelf registration statement (as defined in Rule 405 promulgated under the Securities Act) if the Company is a well-known seasoned issuer (as defined in Rule 405 promulgated under the Securities Act) at the most recent applicable eligibility determination date) and (ii) keep such Subsequent Shelf Registration continuously effective, available for use to permit the Holders named therein to sell their Registrable Securities included therein and in compliance with the provisions of the Securities Act until such time as there are no longer any Registrable Securities; provided that the Company’s obligations hereunder to a Holder are conditioned upon such Holder’s timely furnishing to the Company such information regarding such Holder and the intended method of disposition as the Company may reasonably request and that is required for use in connection with such registration, and the Company may exclude any Holder that fails to provide such information without being in breach hereof. Any such Subsequent Shelf Registration shall be on Form S-3 to the extent that the Company is eligible to use such form. Otherwise, such Subsequent Shelf Registration shall be on another appropriate form. Notwithstanding the foregoing, if, as a result of SEC Guidance, the Commission requires that the number of Registrable Securities included on any Registration Statement be reduced, the Company shall use its commercially reasonable efforts to advocate for the registration of as many Registrable Securities as permitted and, to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a reduction is required notwithstanding such efforts, the number of Registrable Securities included shall be reduced on a pro rata basis among the Holders based on the number of Registrable Securities then held by such Holders, and the Company shall not be deemed in breach of this Agreement for failing to register all Registrable Securities in such circumstances. </w:t>
      </w:r>
    </w:p>
    <w:p>
      <w:pPr>
        <w:pStyle w:val="TextBody"/>
        <w:bidi w:val="0"/>
        <w:spacing w:before="240" w:after="0"/>
        <w:jc w:val="left"/>
        <w:rPr>
          <w:rFonts w:ascii="Times New Roman" w:hAnsi="Times New Roman"/>
          <w:sz w:val="20"/>
        </w:rPr>
      </w:pPr>
      <w:r>
        <w:rPr>
          <w:rFonts w:ascii="Times New Roman" w:hAnsi="Times New Roman"/>
          <w:sz w:val="20"/>
        </w:rPr>
        <w:t>2.1.3 </w:t>
      </w:r>
      <w:r>
        <w:rPr>
          <w:rFonts w:ascii="Times New Roman" w:hAnsi="Times New Roman"/>
          <w:sz w:val="20"/>
          <w:u w:val="single"/>
        </w:rPr>
        <w:t>New Registrable Securities</w:t>
      </w:r>
      <w:r>
        <w:rPr>
          <w:rFonts w:ascii="Times New Roman" w:hAnsi="Times New Roman"/>
          <w:sz w:val="20"/>
        </w:rPr>
        <w:t xml:space="preserve">. Subject to </w:t>
      </w:r>
      <w:r>
        <w:rPr>
          <w:rFonts w:ascii="Times New Roman" w:hAnsi="Times New Roman"/>
          <w:sz w:val="20"/>
          <w:u w:val="single"/>
        </w:rPr>
        <w:t>Section 3.4</w:t>
      </w:r>
      <w:r>
        <w:rPr>
          <w:rFonts w:ascii="Times New Roman" w:hAnsi="Times New Roman"/>
          <w:sz w:val="20"/>
        </w:rPr>
        <w:t xml:space="preserve">, in the event that any Holder holds Registrable Securities that are not registered for resale on a delayed or continuous basis, the Company shall, upon the written request of such Holder, promptly use its commercially reasonable efforts to cause the resale of such Registrable Securities to be covered by either, at the Company’s option, any then-available Shelf (including by means of a post-effective amendment) or a Subsequent Shelf Registration and cause the same to become effective as soon as practicable after such filing and such Shelf or Subsequent Shelf Registration shall be subject to the terms hereof; </w:t>
      </w:r>
      <w:r>
        <w:rPr>
          <w:rFonts w:ascii="Times New Roman" w:hAnsi="Times New Roman"/>
          <w:i/>
          <w:sz w:val="20"/>
        </w:rPr>
        <w:t>provided, however</w:t>
      </w:r>
      <w:r>
        <w:rPr>
          <w:rFonts w:ascii="Times New Roman" w:hAnsi="Times New Roman"/>
          <w:sz w:val="20"/>
        </w:rPr>
        <w:t xml:space="preserve">, that the Company shall only be required to cause such Registrable Securities to be so covered twice per calendar year for each of (i) the Sponsor Holders, collectively, (ii) the Teamshares Holders, collectively, (iii) the PIPE Holders, collectively, and (iv) the Other Holders, collectively. </w:t>
      </w:r>
    </w:p>
    <w:p>
      <w:pPr>
        <w:pStyle w:val="TextBody"/>
        <w:bidi w:val="0"/>
        <w:spacing w:before="240" w:after="0"/>
        <w:jc w:val="left"/>
        <w:rPr>
          <w:rFonts w:ascii="Times New Roman" w:hAnsi="Times New Roman"/>
          <w:sz w:val="20"/>
        </w:rPr>
      </w:pPr>
      <w:r>
        <w:rPr>
          <w:rFonts w:ascii="Times New Roman" w:hAnsi="Times New Roman"/>
          <w:sz w:val="20"/>
        </w:rPr>
        <w:t>2.1.4 </w:t>
      </w:r>
      <w:r>
        <w:rPr>
          <w:rFonts w:ascii="Times New Roman" w:hAnsi="Times New Roman"/>
          <w:sz w:val="20"/>
          <w:u w:val="single"/>
        </w:rPr>
        <w:t>Requests for Underwritten Shelf Takedowns</w:t>
      </w:r>
      <w:r>
        <w:rPr>
          <w:rFonts w:ascii="Times New Roman" w:hAnsi="Times New Roman"/>
          <w:sz w:val="20"/>
        </w:rPr>
        <w:t xml:space="preserve">. Subject to </w:t>
      </w:r>
      <w:r>
        <w:rPr>
          <w:rFonts w:ascii="Times New Roman" w:hAnsi="Times New Roman"/>
          <w:sz w:val="20"/>
          <w:u w:val="single"/>
        </w:rPr>
        <w:t>Section 3.4</w:t>
      </w:r>
      <w:r>
        <w:rPr>
          <w:rFonts w:ascii="Times New Roman" w:hAnsi="Times New Roman"/>
          <w:sz w:val="20"/>
        </w:rPr>
        <w:t>, at any time and from time to time when an effective Shelf is on file with the Commission, any Holder (a “</w:t>
      </w:r>
      <w:r>
        <w:rPr>
          <w:rFonts w:ascii="Times New Roman" w:hAnsi="Times New Roman"/>
          <w:b/>
          <w:i/>
          <w:sz w:val="20"/>
        </w:rPr>
        <w:t>Demanding Holder</w:t>
      </w:r>
      <w:r>
        <w:rPr>
          <w:rFonts w:ascii="Times New Roman" w:hAnsi="Times New Roman"/>
          <w:sz w:val="20"/>
        </w:rPr>
        <w:t>”) may request to sell all or any portion of its Registrable Securities in an Underwritten Offering or other coordinated offering that is registered pursuant to the Shelf (each, an “</w:t>
      </w:r>
      <w:r>
        <w:rPr>
          <w:rFonts w:ascii="Times New Roman" w:hAnsi="Times New Roman"/>
          <w:b/>
          <w:i/>
          <w:sz w:val="20"/>
        </w:rPr>
        <w:t>Underwritten Shelf Takedown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Company shall only be obligated to effect an Underwritten Shelf Takedown if such offering shall include Registrable Securities proposed to be sold by the Demanding Holder, either individually or together with other Demanding Holders, with a total offering price reasonably expected to exceed, in the aggregate, $30 million (the “</w:t>
      </w:r>
      <w:r>
        <w:rPr>
          <w:rFonts w:ascii="Times New Roman" w:hAnsi="Times New Roman"/>
          <w:b/>
          <w:i/>
          <w:sz w:val="20"/>
        </w:rPr>
        <w:t>Minimum Takedown Threshold</w:t>
      </w:r>
      <w:r>
        <w:rPr>
          <w:rFonts w:ascii="Times New Roman" w:hAnsi="Times New Roman"/>
          <w:sz w:val="20"/>
        </w:rPr>
        <w:t xml:space="preserve">”). All requests for Underwritten Shelf Takedowns shall be made by giving written notice to the Company, which shall specify the approximate number of Registrable Securities proposed to be sold in the Underwritten Shelf Takedown. Subject to </w:t>
      </w:r>
      <w:r>
        <w:rPr>
          <w:rFonts w:ascii="Times New Roman" w:hAnsi="Times New Roman"/>
          <w:sz w:val="20"/>
          <w:u w:val="single"/>
        </w:rPr>
        <w:t>Section 2.4.4</w:t>
      </w:r>
      <w:r>
        <w:rPr>
          <w:rFonts w:ascii="Times New Roman" w:hAnsi="Times New Roman"/>
          <w:sz w:val="20"/>
        </w:rPr>
        <w:t xml:space="preserve">, the Company shall have the right to select the Underwriters for such offering (which shall consist of one or more reputable nationally recognized investment banks), subject to the initial Demanding Holder’s prior approval (which approval shall not be unreasonably withheld, conditioned or delayed). Subject to </w:t>
      </w:r>
      <w:r>
        <w:rPr>
          <w:rFonts w:ascii="Times New Roman" w:hAnsi="Times New Roman"/>
          <w:sz w:val="20"/>
          <w:u w:val="single"/>
        </w:rPr>
        <w:t>Section 2.4.6</w:t>
      </w:r>
      <w:r>
        <w:rPr>
          <w:rFonts w:ascii="Times New Roman" w:hAnsi="Times New Roman"/>
          <w:sz w:val="20"/>
        </w:rPr>
        <w:t xml:space="preserve">, each of (i) the Sponsor Holders, collectively, (ii) the Teamshares Holders, collectively, (iii) the PIPE Holders, and (iv) the Other Holders, collectively, may demand Underwritten Shelf Takedowns pursuant to this </w:t>
      </w:r>
      <w:r>
        <w:rPr>
          <w:rFonts w:ascii="Times New Roman" w:hAnsi="Times New Roman"/>
          <w:sz w:val="20"/>
          <w:u w:val="single"/>
        </w:rPr>
        <w:t>Section 2.1.4</w:t>
      </w:r>
      <w:r>
        <w:rPr>
          <w:rFonts w:ascii="Times New Roman" w:hAnsi="Times New Roman"/>
          <w:sz w:val="20"/>
        </w:rPr>
        <w:t xml:space="preserve"> (x) not more than two (2) times in any 12-month period (the “</w:t>
      </w:r>
      <w:r>
        <w:rPr>
          <w:rFonts w:ascii="Times New Roman" w:hAnsi="Times New Roman"/>
          <w:b/>
          <w:i/>
          <w:sz w:val="20"/>
        </w:rPr>
        <w:t>Yearly Limit</w:t>
      </w:r>
      <w:r>
        <w:rPr>
          <w:rFonts w:ascii="Times New Roman" w:hAnsi="Times New Roman"/>
          <w:sz w:val="20"/>
        </w:rPr>
        <w:t xml:space="preserve">”). Notwithstanding anything to the contrary in this Agreement, the Company may effect any Underwritten Offering pursuant to any then-effective Registration Statement, including a Form S-3, that is then available for such offering. </w:t>
      </w:r>
    </w:p>
    <w:p>
      <w:pPr>
        <w:pStyle w:val="TextBody"/>
        <w:bidi w:val="0"/>
        <w:spacing w:before="240" w:after="0"/>
        <w:jc w:val="left"/>
        <w:rPr>
          <w:rFonts w:ascii="Times New Roman" w:hAnsi="Times New Roman"/>
          <w:sz w:val="20"/>
        </w:rPr>
      </w:pPr>
      <w:r>
        <w:rPr>
          <w:rFonts w:ascii="Times New Roman" w:hAnsi="Times New Roman"/>
          <w:sz w:val="20"/>
        </w:rPr>
        <w:t>2.1.5 </w:t>
      </w:r>
      <w:r>
        <w:rPr>
          <w:rFonts w:ascii="Times New Roman" w:hAnsi="Times New Roman"/>
          <w:sz w:val="20"/>
          <w:u w:val="single"/>
        </w:rPr>
        <w:t>Reduction of Underwritten Offering</w:t>
      </w:r>
      <w:r>
        <w:rPr>
          <w:rFonts w:ascii="Times New Roman" w:hAnsi="Times New Roman"/>
          <w:sz w:val="20"/>
        </w:rPr>
        <w:t>. If the managing Underwriter or Underwriters in an Underwritten Shelf Takedown, in good faith, advises the Company, the Demanding Holders and the Holders requesting piggy back rights pursuant to this Agreement with respect to such Underwritten Shelf Takedown (the “</w:t>
      </w:r>
      <w:r>
        <w:rPr>
          <w:rFonts w:ascii="Times New Roman" w:hAnsi="Times New Roman"/>
          <w:b/>
          <w:i/>
          <w:sz w:val="20"/>
        </w:rPr>
        <w:t>Requesting Holders</w:t>
      </w:r>
      <w:r>
        <w:rPr>
          <w:rFonts w:ascii="Times New Roman" w:hAnsi="Times New Roman"/>
          <w:sz w:val="20"/>
        </w:rPr>
        <w:t>”) (if any) in writing that the dollar amount or number of Registrable Securities that the Demanding Holders and the Requesting Holders (if any) desire to sell, taken together with all other shares of Common Stock or other equity securities that the Company desires to sell and all other shares of Common Stock or other equity securities, if any, that have been requested to be sold in such Underwritten Offering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hAnsi="Times New Roman"/>
          <w:b/>
          <w:i/>
          <w:sz w:val="20"/>
        </w:rPr>
        <w:t>Maximum Number of Securities</w:t>
      </w:r>
      <w:r>
        <w:rPr>
          <w:rFonts w:ascii="Times New Roman" w:hAnsi="Times New Roman"/>
          <w:sz w:val="20"/>
        </w:rPr>
        <w:t xml:space="preserve">”), then the Company shall include in such Underwritten Offering, before including any shares of Common Stock or other equity securities proposed to be sold by Company or by other holders of Common Stock or other equity securities, the Registrable Securities of the Demanding Holders and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Requesting Holders (if any) (</w:t>
      </w:r>
      <w:r>
        <w:rPr>
          <w:rFonts w:ascii="Times New Roman" w:hAnsi="Times New Roman"/>
          <w:i/>
          <w:sz w:val="20"/>
        </w:rPr>
        <w:t>pro rata</w:t>
      </w:r>
      <w:r>
        <w:rPr>
          <w:rFonts w:ascii="Times New Roman" w:hAnsi="Times New Roman"/>
          <w:sz w:val="20"/>
        </w:rPr>
        <w:t xml:space="preserve">, as nearly as practicable, based on the respective number of Registrable Securities that each Demanding Holder and Requesting Holder (if any) has requested be included in such Underwritten Shelf Takedown and the aggregate number of Registrable Securities that the Demanding Holders and Requesting Holders (if any) have requested be included in such Underwritten Shelf Takedown) that can be sold without exceeding the Maximum Number of Securities. To facilitate the allocation of Registrable Securities in accordance with the above provisions, the Company or the Underwriters may round the number of Registrable Securities allocated to any Holder to the nearest multiple of ten (10). </w:t>
      </w:r>
    </w:p>
    <w:p>
      <w:pPr>
        <w:pStyle w:val="TextBody"/>
        <w:bidi w:val="0"/>
        <w:spacing w:before="240" w:after="0"/>
        <w:jc w:val="left"/>
        <w:rPr>
          <w:rFonts w:ascii="Times New Roman" w:hAnsi="Times New Roman"/>
          <w:sz w:val="20"/>
        </w:rPr>
      </w:pPr>
      <w:r>
        <w:rPr>
          <w:rFonts w:ascii="Times New Roman" w:hAnsi="Times New Roman"/>
          <w:sz w:val="20"/>
        </w:rPr>
        <w:t>2.1.6 </w:t>
      </w:r>
      <w:r>
        <w:rPr>
          <w:rFonts w:ascii="Times New Roman" w:hAnsi="Times New Roman"/>
          <w:sz w:val="20"/>
          <w:u w:val="single"/>
        </w:rPr>
        <w:t>Underwritten Shelf Takedown Withdrawal</w:t>
      </w:r>
      <w:r>
        <w:rPr>
          <w:rFonts w:ascii="Times New Roman" w:hAnsi="Times New Roman"/>
          <w:sz w:val="20"/>
        </w:rPr>
        <w:t>. Prior to the filing of the applicable “red herring” prospectus or prospectus supplement used for marketing such Underwritten Shelf Takedown, a majority in interest of the Demanding Holders initiating an Underwritten Shelf Takedown shall have the right to withdraw from such Underwritten Shelf Takedown for any or no reason whatsoever upon written notification (a “</w:t>
      </w:r>
      <w:r>
        <w:rPr>
          <w:rFonts w:ascii="Times New Roman" w:hAnsi="Times New Roman"/>
          <w:b/>
          <w:i/>
          <w:sz w:val="20"/>
        </w:rPr>
        <w:t>Withdrawal Notice</w:t>
      </w:r>
      <w:r>
        <w:rPr>
          <w:rFonts w:ascii="Times New Roman" w:hAnsi="Times New Roman"/>
          <w:sz w:val="20"/>
        </w:rPr>
        <w:t xml:space="preserve">”) to the Company and the Underwriter or Underwriters (if any) of their intention to withdraw from such Underwritten Shelf Takedown; </w:t>
      </w:r>
      <w:r>
        <w:rPr>
          <w:rFonts w:ascii="Times New Roman" w:hAnsi="Times New Roman"/>
          <w:i/>
          <w:sz w:val="20"/>
        </w:rPr>
        <w:t>provided</w:t>
      </w:r>
      <w:r>
        <w:rPr>
          <w:rFonts w:ascii="Times New Roman" w:hAnsi="Times New Roman"/>
          <w:sz w:val="20"/>
        </w:rPr>
        <w:t xml:space="preserve"> that any other Demanding Holder(s) may elect to have the Company continue an Underwritten Shelf Takedown if the Minimum Takedown Threshold would still be satisfied by the Registrable Securities proposed to be sold in the Underwritten Shelf Takedown by the Demanding Holder(s). If withdrawn, a demand for an Underwritten Shelf Takedown shall constitute a demand for an Underwritten Shelf Takedown by the withdrawing Demanding Holder for purposes of </w:t>
      </w:r>
      <w:r>
        <w:rPr>
          <w:rFonts w:ascii="Times New Roman" w:hAnsi="Times New Roman"/>
          <w:sz w:val="20"/>
          <w:u w:val="single"/>
        </w:rPr>
        <w:t>Section 2.1.4</w:t>
      </w:r>
      <w:r>
        <w:rPr>
          <w:rFonts w:ascii="Times New Roman" w:hAnsi="Times New Roman"/>
          <w:sz w:val="20"/>
        </w:rPr>
        <w:t xml:space="preserve"> and shall count toward the Yearly Limit, unless either (i) the Demanding Holder(s) making the withdrawal has not previously withdrawn any Underwritten Shelf Takedown or (ii) the Demanding Holder(s) making the withdrawal reimburses the Company for all Registration Expenses with respect to such Underwritten Shelf Takedown (or, if there is more than one Demanding Holder, a </w:t>
      </w:r>
      <w:r>
        <w:rPr>
          <w:rFonts w:ascii="Times New Roman" w:hAnsi="Times New Roman"/>
          <w:i/>
          <w:sz w:val="20"/>
        </w:rPr>
        <w:t>pro rata</w:t>
      </w:r>
      <w:r>
        <w:rPr>
          <w:rFonts w:ascii="Times New Roman" w:hAnsi="Times New Roman"/>
          <w:sz w:val="20"/>
        </w:rPr>
        <w:t xml:space="preserve"> portion of such Registration Expenses based on the respective number of Registrable Securities that each Demanding Holder has requested be included in such Underwritten Shelf Takedown); </w:t>
      </w:r>
      <w:r>
        <w:rPr>
          <w:rFonts w:ascii="Times New Roman" w:hAnsi="Times New Roman"/>
          <w:sz w:val="20"/>
          <w:u w:val="single"/>
        </w:rPr>
        <w:t>provided</w:t>
      </w:r>
      <w:r>
        <w:rPr>
          <w:rFonts w:ascii="Times New Roman" w:hAnsi="Times New Roman"/>
          <w:sz w:val="20"/>
        </w:rPr>
        <w:t xml:space="preserve"> that, if any other Demanding Holder(s) elects to continue an Underwritten Shelf Takedown pursuant to the proviso in the immediately preceding sentence, such Underwritten Shelf Takedown shall instead count as an Underwritten Shelf Takedown demanded by such Demanding Holder(s) for purposes of </w:t>
      </w:r>
      <w:r>
        <w:rPr>
          <w:rFonts w:ascii="Times New Roman" w:hAnsi="Times New Roman"/>
          <w:sz w:val="20"/>
          <w:u w:val="single"/>
        </w:rPr>
        <w:t>Section 2.1.4</w:t>
      </w:r>
      <w:r>
        <w:rPr>
          <w:rFonts w:ascii="Times New Roman" w:hAnsi="Times New Roman"/>
          <w:sz w:val="20"/>
        </w:rPr>
        <w:t xml:space="preserve"> and shall count toward the Yearly Limit. Following the receipt of any Withdrawal Notice, the Company shall promptly forward such Withdrawal Notice to any other Requesting Holders. Notwithstanding anything to the contrary in this Agreement, the Company shall be responsible for the Registration Expenses incurred in connection with a Shelf Takedown prior to its withdrawal under this </w:t>
      </w:r>
      <w:r>
        <w:rPr>
          <w:rFonts w:ascii="Times New Roman" w:hAnsi="Times New Roman"/>
          <w:sz w:val="20"/>
          <w:u w:val="single"/>
        </w:rPr>
        <w:t>Section 2.1.6</w:t>
      </w:r>
      <w:r>
        <w:rPr>
          <w:rFonts w:ascii="Times New Roman" w:hAnsi="Times New Roman"/>
          <w:sz w:val="20"/>
        </w:rPr>
        <w:t xml:space="preserve">, other than if a Demanding Holder elects to pay such Registration Expenses pursuant to </w:t>
      </w:r>
      <w:r>
        <w:rPr>
          <w:rFonts w:ascii="Times New Roman" w:hAnsi="Times New Roman"/>
          <w:sz w:val="20"/>
          <w:u w:val="single"/>
        </w:rPr>
        <w:t>clause (ii)</w:t>
      </w:r>
      <w:r>
        <w:rPr>
          <w:rFonts w:ascii="Times New Roman" w:hAnsi="Times New Roman"/>
          <w:sz w:val="20"/>
        </w:rPr>
        <w:t xml:space="preserve"> of the second sentence of this </w:t>
      </w:r>
      <w:r>
        <w:rPr>
          <w:rFonts w:ascii="Times New Roman" w:hAnsi="Times New Roman"/>
          <w:sz w:val="20"/>
          <w:u w:val="single"/>
        </w:rPr>
        <w:t>Section 2.1.6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2.2 </w:t>
      </w:r>
      <w:r>
        <w:rPr>
          <w:rFonts w:ascii="Times New Roman" w:hAnsi="Times New Roman"/>
          <w:sz w:val="20"/>
          <w:u w:val="single"/>
        </w:rPr>
        <w:t>Piggyback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2.2.1 </w:t>
      </w:r>
      <w:r>
        <w:rPr>
          <w:rFonts w:ascii="Times New Roman" w:hAnsi="Times New Roman"/>
          <w:sz w:val="20"/>
          <w:u w:val="single"/>
        </w:rPr>
        <w:t>Piggyback Rights</w:t>
      </w:r>
      <w:r>
        <w:rPr>
          <w:rFonts w:ascii="Times New Roman" w:hAnsi="Times New Roman"/>
          <w:sz w:val="20"/>
        </w:rPr>
        <w:t xml:space="preserve">. If the Company proposes to conduct a registered offering of, or if the Company proposes to file a Registration Statement under the Securities Act with respect to the Registration of, equity securities, or securities or other obligations exercisable or exchangeable for, or convertible into equity securities, for its own account or for the account of securityholders of the Company (or by the Company and by the securityholders of the Company including, without limitation, an Underwritten Shelf Takedown pursuant to </w:t>
      </w:r>
      <w:r>
        <w:rPr>
          <w:rFonts w:ascii="Times New Roman" w:hAnsi="Times New Roman"/>
          <w:sz w:val="20"/>
          <w:u w:val="single"/>
        </w:rPr>
        <w:t>Section 2.1</w:t>
      </w:r>
      <w:r>
        <w:rPr>
          <w:rFonts w:ascii="Times New Roman" w:hAnsi="Times New Roman"/>
          <w:sz w:val="20"/>
        </w:rPr>
        <w:t>), other than a Registration Statement (or any registered offering with respect thereto) (i) filed in connection with any employee stock option or other benefit plan, (ii) for an exchange offer or offering of securities solely to the Company’s existing stockholders, (iii) pursuant to a Registration Statement on Form S-4 (or similar form that relates to a transaction subject to Rule 145 under the Securities Act or any successor rule thereto), (iv) for an offering of debt that is convertible into equity securities of the Company, (v) for a dividend reinvestment plan, or (vi) a Block Trade or an Other Coordinated Offering (which shall be subject to</w:t>
      </w:r>
      <w:r>
        <w:rPr>
          <w:rFonts w:ascii="Times New Roman" w:hAnsi="Times New Roman"/>
          <w:sz w:val="20"/>
          <w:u w:val="single"/>
        </w:rPr>
        <w:t> Section 2.4</w:t>
      </w:r>
      <w:r>
        <w:rPr>
          <w:rFonts w:ascii="Times New Roman" w:hAnsi="Times New Roman"/>
          <w:sz w:val="20"/>
        </w:rPr>
        <w:t xml:space="preserve">), then the Company shall give written notice of such proposed offering to all of the Holders of Registrable Securities as soon as practicable but not less than ten days before the anticipated filing date of such Registration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Statement or, in the case of an Underwritten Offering pursuant to a Shelf Registration, the applicable “red herring” prospectus or prospectus supplement used for marketing such offering,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include in such registered offering such number of Registrable Securities as such Holders may request in writing within five (5) business days after receipt of such written notice (or, if a shorter response period is required by the managing Underwriter or the Commission, within such shorter period specified in the notice, provided that no response period shall be less than two (2) Business Days) (such Registration, a “</w:t>
      </w:r>
      <w:r>
        <w:rPr>
          <w:rFonts w:ascii="Times New Roman" w:hAnsi="Times New Roman"/>
          <w:b/>
          <w:i/>
          <w:sz w:val="20"/>
        </w:rPr>
        <w:t>Piggyback Registration</w:t>
      </w:r>
      <w:r>
        <w:rPr>
          <w:rFonts w:ascii="Times New Roman" w:hAnsi="Times New Roman"/>
          <w:sz w:val="20"/>
        </w:rPr>
        <w:t xml:space="preserve">”). Subject to </w:t>
      </w:r>
      <w:r>
        <w:rPr>
          <w:rFonts w:ascii="Times New Roman" w:hAnsi="Times New Roman"/>
          <w:sz w:val="20"/>
          <w:u w:val="single"/>
        </w:rPr>
        <w:t>Section 2.2.2</w:t>
      </w:r>
      <w:r>
        <w:rPr>
          <w:rFonts w:ascii="Times New Roman" w:hAnsi="Times New Roman"/>
          <w:sz w:val="20"/>
        </w:rPr>
        <w:t xml:space="preserve">, the Company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the Holders pursuant to this </w:t>
      </w:r>
      <w:r>
        <w:rPr>
          <w:rFonts w:ascii="Times New Roman" w:hAnsi="Times New Roman"/>
          <w:sz w:val="20"/>
          <w:u w:val="single"/>
        </w:rPr>
        <w:t>Section 2.2.1</w:t>
      </w:r>
      <w:r>
        <w:rPr>
          <w:rFonts w:ascii="Times New Roman" w:hAnsi="Times New Roman"/>
          <w:sz w:val="20"/>
        </w:rPr>
        <w:t xml:space="preserve"> to be included therein on the same terms and conditions as any similar securities of the Company included in such registered offering and to permit the sale or other disposition of such Registrable Securities in accordance with the intended method(s) of distribution thereof. The inclusion of any Holder’s Registrable Securities in a Piggyback Registration shall be subject to such Holder’s agreement to enter into an underwriting agreement in customary form with the Underwriter(s) selected for such Underwritten Offering by the Company. </w:t>
      </w:r>
    </w:p>
    <w:p>
      <w:pPr>
        <w:pStyle w:val="TextBody"/>
        <w:bidi w:val="0"/>
        <w:spacing w:before="240" w:after="0"/>
        <w:jc w:val="left"/>
        <w:rPr>
          <w:rFonts w:ascii="Times New Roman" w:hAnsi="Times New Roman"/>
          <w:sz w:val="20"/>
        </w:rPr>
      </w:pPr>
      <w:r>
        <w:rPr>
          <w:rFonts w:ascii="Times New Roman" w:hAnsi="Times New Roman"/>
          <w:sz w:val="20"/>
        </w:rPr>
        <w:t>2.2.2 </w:t>
      </w:r>
      <w:r>
        <w:rPr>
          <w:rFonts w:ascii="Times New Roman" w:hAnsi="Times New Roman"/>
          <w:sz w:val="20"/>
          <w:u w:val="single"/>
        </w:rPr>
        <w:t>Reduction of Piggyback Registration</w:t>
      </w:r>
      <w:r>
        <w:rPr>
          <w:rFonts w:ascii="Times New Roman" w:hAnsi="Times New Roman"/>
          <w:sz w:val="20"/>
        </w:rPr>
        <w:t xml:space="preserve">. If the managing Underwriter or Underwriters in an Underwritten Offering that is to be a Piggyback Registration, in good faith, advises the Company and the Holders of Registrable Securities participating in the Piggyback Registration in writing that the dollar amount or number of shares of Common Stock or other equity securities that the Company or the Demanding Holders desire to sell, taken together with (i) the shares of Common Stock or other equity securities, if any, as to which Registration or a registered offering has been demanded pursuant to separate written contractual arrangements with Persons other than the Holders of Registrable Securities hereunder, (ii) the Registrable Securities as to which Registration has been requested pursuant to this </w:t>
      </w:r>
      <w:r>
        <w:rPr>
          <w:rFonts w:ascii="Times New Roman" w:hAnsi="Times New Roman"/>
          <w:sz w:val="20"/>
          <w:u w:val="single"/>
        </w:rPr>
        <w:t>Section 2.2</w:t>
      </w:r>
      <w:r>
        <w:rPr>
          <w:rFonts w:ascii="Times New Roman" w:hAnsi="Times New Roman"/>
          <w:sz w:val="20"/>
        </w:rPr>
        <w:t xml:space="preserve"> and (iii) the shares of Common Stock or other equity securities, if any, as to which Registration or a registered offering has been requested pursuant to separate written contractual piggy-back registration rights of Persons other than the Holders of Registrable Securities hereunder, exceeds the Maximum Number of Securities, then: </w:t>
      </w:r>
    </w:p>
    <w:p>
      <w:pPr>
        <w:pStyle w:val="TextBody"/>
        <w:bidi w:val="0"/>
        <w:spacing w:before="240" w:after="0"/>
        <w:jc w:val="left"/>
        <w:rPr>
          <w:rFonts w:ascii="Times New Roman" w:hAnsi="Times New Roman"/>
          <w:sz w:val="20"/>
        </w:rPr>
      </w:pPr>
      <w:r>
        <w:rPr>
          <w:rFonts w:ascii="Times New Roman" w:hAnsi="Times New Roman"/>
          <w:sz w:val="20"/>
        </w:rPr>
        <w:t xml:space="preserve">(a) if the Registration or registered offering is undertaken for the Company’s account, the Company shall include in any such Registration or registered offering (A) first, the shares of Common Stock or other equity securities that the Company desires to sell, which can be sold without exceeding the Maximum Number of Securities; (B) second, to the extent that the Maximum Number of Securities has not been reached under the foregoing </w:t>
      </w:r>
      <w:r>
        <w:rPr>
          <w:rFonts w:ascii="Times New Roman" w:hAnsi="Times New Roman"/>
          <w:sz w:val="20"/>
          <w:u w:val="single"/>
        </w:rPr>
        <w:t>clause (A)</w:t>
      </w:r>
      <w:r>
        <w:rPr>
          <w:rFonts w:ascii="Times New Roman" w:hAnsi="Times New Roman"/>
          <w:sz w:val="20"/>
        </w:rPr>
        <w:t xml:space="preserve">, the Registrable Securities of Holders exercising their rights to register their Registrable Securities pursuant to </w:t>
      </w:r>
      <w:r>
        <w:rPr>
          <w:rFonts w:ascii="Times New Roman" w:hAnsi="Times New Roman"/>
          <w:sz w:val="20"/>
          <w:u w:val="single"/>
        </w:rPr>
        <w:t>Section 2.2.1</w:t>
      </w:r>
      <w:r>
        <w:rPr>
          <w:rFonts w:ascii="Times New Roman" w:hAnsi="Times New Roman"/>
          <w:sz w:val="20"/>
        </w:rPr>
        <w:t xml:space="preserve">, </w:t>
      </w:r>
      <w:r>
        <w:rPr>
          <w:rFonts w:ascii="Times New Roman" w:hAnsi="Times New Roman"/>
          <w:i/>
          <w:sz w:val="20"/>
        </w:rPr>
        <w:t>pro rata</w:t>
      </w:r>
      <w:r>
        <w:rPr>
          <w:rFonts w:ascii="Times New Roman" w:hAnsi="Times New Roman"/>
          <w:sz w:val="20"/>
        </w:rPr>
        <w:t xml:space="preserve">, as nearly as practicable,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and (C) third, to the extent that the Maximum Number of Securities has not been reached under the foregoing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the shares of Common Stock or other equity securities, if any, as to which Registration or a registered offering has been requested pursuant to separate written contractual piggy-back registration rights of Persons other than the Holders of Registrable Securities hereunder, which can be sold without exceeding the Maximum Number of Securities; </w:t>
      </w:r>
    </w:p>
    <w:p>
      <w:pPr>
        <w:pStyle w:val="TextBody"/>
        <w:bidi w:val="0"/>
        <w:spacing w:before="240" w:after="0"/>
        <w:jc w:val="left"/>
        <w:rPr>
          <w:rFonts w:ascii="Times New Roman" w:hAnsi="Times New Roman"/>
          <w:sz w:val="20"/>
        </w:rPr>
      </w:pPr>
      <w:r>
        <w:rPr>
          <w:rFonts w:ascii="Times New Roman" w:hAnsi="Times New Roman"/>
          <w:sz w:val="20"/>
        </w:rPr>
        <w:t xml:space="preserve">(b) if the Registration or registered offering is pursuant to a request by Persons other than the Holders of Registrable Securities, then the Company shall include in any such Registration or registered offering (A) first, the shares of Common Stock or other equity securities, if any, of such requesting Persons, other than the Holders of Registrable Securities, which can be sold without exceeding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Maximum Number of Securities; (B) second, to the extent that the Maximum Number of Securities has not been reached under the foregoing </w:t>
      </w:r>
      <w:r>
        <w:rPr>
          <w:rFonts w:ascii="Times New Roman" w:hAnsi="Times New Roman"/>
          <w:sz w:val="20"/>
          <w:u w:val="single"/>
        </w:rPr>
        <w:t>clause (A)</w:t>
      </w:r>
      <w:r>
        <w:rPr>
          <w:rFonts w:ascii="Times New Roman" w:hAnsi="Times New Roman"/>
          <w:sz w:val="20"/>
        </w:rPr>
        <w:t xml:space="preserve">, the Registrable Securities of Holders exercising their rights to register their Registrable Securities pursuant to </w:t>
      </w:r>
      <w:r>
        <w:rPr>
          <w:rFonts w:ascii="Times New Roman" w:hAnsi="Times New Roman"/>
          <w:sz w:val="20"/>
          <w:u w:val="single"/>
        </w:rPr>
        <w:t>Section 2.2.1</w:t>
      </w:r>
      <w:r>
        <w:rPr>
          <w:rFonts w:ascii="Times New Roman" w:hAnsi="Times New Roman"/>
          <w:sz w:val="20"/>
        </w:rPr>
        <w:t xml:space="preserve">, </w:t>
      </w:r>
      <w:r>
        <w:rPr>
          <w:rFonts w:ascii="Times New Roman" w:hAnsi="Times New Roman"/>
          <w:i/>
          <w:sz w:val="20"/>
        </w:rPr>
        <w:t>pro rata</w:t>
      </w:r>
      <w:r>
        <w:rPr>
          <w:rFonts w:ascii="Times New Roman" w:hAnsi="Times New Roman"/>
          <w:sz w:val="20"/>
        </w:rPr>
        <w:t xml:space="preserve">, as nearly as practicable,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(C) third, to the extent that the Maximum Number of Securities has not been reached under the foregoing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the shares of Common Stock or other equity securities that the Company desires to sell, which can be sold without exceeding the Maximum Number of Securities; and (D) fourth, to the extent that the Maximum Number of Securities has not been reached under the foregoing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the shares of Common Stock or other equity securities, if any, as to which Registration or a registered offering has been requested pursuant to separate written contractual piggy-back registration rights of such Persons other than the Holders of Registrable Securities hereunder, which can be sold without exceeding the Maximum Number of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(c) if the Registration or registered offering is pursuant to a request by Holder(s) of Registrable Securities pursuant to </w:t>
      </w:r>
      <w:r>
        <w:rPr>
          <w:rFonts w:ascii="Times New Roman" w:hAnsi="Times New Roman"/>
          <w:sz w:val="20"/>
          <w:u w:val="single"/>
        </w:rPr>
        <w:t>Section 2.1</w:t>
      </w:r>
      <w:r>
        <w:rPr>
          <w:rFonts w:ascii="Times New Roman" w:hAnsi="Times New Roman"/>
          <w:sz w:val="20"/>
        </w:rPr>
        <w:t xml:space="preserve">, then the Company shall include in any such Registration or registered offering securities in the priority set forth in </w:t>
      </w:r>
      <w:r>
        <w:rPr>
          <w:rFonts w:ascii="Times New Roman" w:hAnsi="Times New Roman"/>
          <w:sz w:val="20"/>
          <w:u w:val="single"/>
        </w:rPr>
        <w:t>Section 2.1.5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2.2.3 </w:t>
      </w:r>
      <w:r>
        <w:rPr>
          <w:rFonts w:ascii="Times New Roman" w:hAnsi="Times New Roman"/>
          <w:sz w:val="20"/>
          <w:u w:val="single"/>
        </w:rPr>
        <w:t>Piggyback Registration Withdrawal</w:t>
      </w:r>
      <w:r>
        <w:rPr>
          <w:rFonts w:ascii="Times New Roman" w:hAnsi="Times New Roman"/>
          <w:sz w:val="20"/>
        </w:rPr>
        <w:t xml:space="preserve">. Any Holder of Registrable Securities (other than a Demanding Holder, whose right to withdraw from an Underwritten Shelf Takedown, and related obligations, shall be governed by </w:t>
      </w:r>
      <w:r>
        <w:rPr>
          <w:rFonts w:ascii="Times New Roman" w:hAnsi="Times New Roman"/>
          <w:sz w:val="20"/>
          <w:u w:val="single"/>
        </w:rPr>
        <w:t>Section 2.1.6</w:t>
      </w:r>
      <w:r>
        <w:rPr>
          <w:rFonts w:ascii="Times New Roman" w:hAnsi="Times New Roman"/>
          <w:sz w:val="20"/>
        </w:rPr>
        <w:t xml:space="preserve">)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(other than </w:t>
      </w:r>
      <w:r>
        <w:rPr>
          <w:rFonts w:ascii="Times New Roman" w:hAnsi="Times New Roman"/>
          <w:sz w:val="20"/>
          <w:u w:val="single"/>
        </w:rPr>
        <w:t>Section 2.1.6</w:t>
      </w:r>
      <w:r>
        <w:rPr>
          <w:rFonts w:ascii="Times New Roman" w:hAnsi="Times New Roman"/>
          <w:sz w:val="20"/>
        </w:rPr>
        <w:t xml:space="preserve">), the Company shall be responsible for the Registration Expenses incurred in connection with the Piggyback Registration prior to its withdrawal under this </w:t>
      </w:r>
      <w:r>
        <w:rPr>
          <w:rFonts w:ascii="Times New Roman" w:hAnsi="Times New Roman"/>
          <w:sz w:val="20"/>
          <w:u w:val="single"/>
        </w:rPr>
        <w:t>Section 2.2.3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2.2.4 </w:t>
      </w:r>
      <w:r>
        <w:rPr>
          <w:rFonts w:ascii="Times New Roman" w:hAnsi="Times New Roman"/>
          <w:sz w:val="20"/>
          <w:u w:val="single"/>
        </w:rPr>
        <w:t>Unlimited Piggyback Registration Rights</w:t>
      </w:r>
      <w:r>
        <w:rPr>
          <w:rFonts w:ascii="Times New Roman" w:hAnsi="Times New Roman"/>
          <w:sz w:val="20"/>
        </w:rPr>
        <w:t xml:space="preserve">. For purposes of clarity, subject to </w:t>
      </w:r>
      <w:r>
        <w:rPr>
          <w:rFonts w:ascii="Times New Roman" w:hAnsi="Times New Roman"/>
          <w:sz w:val="20"/>
          <w:u w:val="single"/>
        </w:rPr>
        <w:t>Section 2.1.6</w:t>
      </w:r>
      <w:r>
        <w:rPr>
          <w:rFonts w:ascii="Times New Roman" w:hAnsi="Times New Roman"/>
          <w:sz w:val="20"/>
        </w:rPr>
        <w:t xml:space="preserve">, any Piggyback Registration effected pursuant to </w:t>
      </w:r>
      <w:r>
        <w:rPr>
          <w:rFonts w:ascii="Times New Roman" w:hAnsi="Times New Roman"/>
          <w:sz w:val="20"/>
          <w:u w:val="single"/>
        </w:rPr>
        <w:t>Section 2.2</w:t>
      </w:r>
      <w:r>
        <w:rPr>
          <w:rFonts w:ascii="Times New Roman" w:hAnsi="Times New Roman"/>
          <w:sz w:val="20"/>
        </w:rPr>
        <w:t xml:space="preserve"> shall not be counted as a demand for an Underwritten Shelf Takedown under </w:t>
      </w:r>
      <w:r>
        <w:rPr>
          <w:rFonts w:ascii="Times New Roman" w:hAnsi="Times New Roman"/>
          <w:sz w:val="20"/>
          <w:u w:val="single"/>
        </w:rPr>
        <w:t>Section 2.1.4</w:t>
      </w:r>
      <w:r>
        <w:rPr>
          <w:rFonts w:ascii="Times New Roman" w:hAnsi="Times New Roman"/>
          <w:sz w:val="20"/>
        </w:rPr>
        <w:t xml:space="preserve"> and shall not count toward the Yearly Limit. </w:t>
      </w:r>
    </w:p>
    <w:p>
      <w:pPr>
        <w:pStyle w:val="TextBody"/>
        <w:bidi w:val="0"/>
        <w:spacing w:before="240" w:after="0"/>
        <w:jc w:val="left"/>
        <w:rPr>
          <w:rFonts w:ascii="Times New Roman" w:hAnsi="Times New Roman"/>
          <w:sz w:val="20"/>
        </w:rPr>
      </w:pPr>
      <w:r>
        <w:rPr>
          <w:rFonts w:ascii="Times New Roman" w:hAnsi="Times New Roman"/>
          <w:sz w:val="20"/>
        </w:rPr>
        <w:t>2.3 </w:t>
      </w:r>
      <w:r>
        <w:rPr>
          <w:rFonts w:ascii="Times New Roman" w:hAnsi="Times New Roman"/>
          <w:sz w:val="20"/>
          <w:u w:val="single"/>
        </w:rPr>
        <w:t>Market Stand-off</w:t>
      </w:r>
      <w:r>
        <w:rPr>
          <w:rFonts w:ascii="Times New Roman" w:hAnsi="Times New Roman"/>
          <w:sz w:val="20"/>
        </w:rPr>
        <w:t>. In connection with any Underwritten Offering of equity securities of the Company (other than a Block Trade or Other Coordinated Offering), if requested by the managing Underwriter, each Holder that is an executive officer or director of the Company or a Holder in excess of 5.0% of the then-outstanding Common Stock agrees that it shall not Transfer any shares of Common Stock or other equity securities of the Company (other than those included in such offering pursuant to this Agreement), without the prior written consent of the Company, during the 90-day period (or such shorter time agreed to by the managing Underwriters) beginning on the date of pricing of such offering (the “</w:t>
      </w:r>
      <w:r>
        <w:rPr>
          <w:rFonts w:ascii="Times New Roman" w:hAnsi="Times New Roman"/>
          <w:b/>
          <w:i/>
          <w:sz w:val="20"/>
        </w:rPr>
        <w:t>Underwritten Lock-Up Period</w:t>
      </w:r>
      <w:r>
        <w:rPr>
          <w:rFonts w:ascii="Times New Roman" w:hAnsi="Times New Roman"/>
          <w:sz w:val="20"/>
        </w:rPr>
        <w:t xml:space="preserve">”), except (i) to Permitted Transferees, (ii) as expressly permitted by the lock-up agreement executed in connection with such Underwritten Offering or (iii) in the event the Underwriters managing the offering otherwise consent in writing. Each Holder agrees to execute a customary lock-up agreement in favor of the Underwriters to such effect (in each case on substantially the same terms and conditions as all other Holders). The Company will not be obligated to undertake 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Underwritten Shelf Takedown during any Underwritten Lock-Up Period binding on the Holders, nor will the Company be obligated to include in any Piggyback Registration any Registrable Securities that are then subject to a “lock-up” agreement. </w:t>
      </w:r>
    </w:p>
    <w:p>
      <w:pPr>
        <w:pStyle w:val="TextBody"/>
        <w:bidi w:val="0"/>
        <w:spacing w:before="240" w:after="0"/>
        <w:jc w:val="left"/>
        <w:rPr>
          <w:rFonts w:ascii="Times New Roman" w:hAnsi="Times New Roman"/>
          <w:sz w:val="20"/>
        </w:rPr>
      </w:pPr>
      <w:r>
        <w:rPr>
          <w:rFonts w:ascii="Times New Roman" w:hAnsi="Times New Roman"/>
          <w:sz w:val="20"/>
        </w:rPr>
        <w:t>2.4 </w:t>
      </w:r>
      <w:r>
        <w:rPr>
          <w:rFonts w:ascii="Times New Roman" w:hAnsi="Times New Roman"/>
          <w:sz w:val="20"/>
          <w:u w:val="single"/>
        </w:rPr>
        <w:t>Block Trades; Other Coordinated Offerings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2.4.1 Notwithstanding any other provision of this </w:t>
      </w:r>
      <w:r>
        <w:rPr>
          <w:rFonts w:ascii="Times New Roman" w:hAnsi="Times New Roman"/>
          <w:sz w:val="20"/>
          <w:u w:val="single"/>
        </w:rPr>
        <w:t>Article II</w:t>
      </w:r>
      <w:r>
        <w:rPr>
          <w:rFonts w:ascii="Times New Roman" w:hAnsi="Times New Roman"/>
          <w:sz w:val="20"/>
        </w:rPr>
        <w:t xml:space="preserve">, but subject to </w:t>
      </w:r>
      <w:r>
        <w:rPr>
          <w:rFonts w:ascii="Times New Roman" w:hAnsi="Times New Roman"/>
          <w:sz w:val="20"/>
          <w:u w:val="single"/>
        </w:rPr>
        <w:t>Section 3.4</w:t>
      </w:r>
      <w:r>
        <w:rPr>
          <w:rFonts w:ascii="Times New Roman" w:hAnsi="Times New Roman"/>
          <w:sz w:val="20"/>
        </w:rPr>
        <w:t>, at any time and from time to time when an effective Shelf is on file with the Commission, if a Demanding Holder wishes to engage in (a) an underwritten registered offering not involving a “roadshow,” an offer commonly known as a “block trade” (a “</w:t>
      </w:r>
      <w:r>
        <w:rPr>
          <w:rFonts w:ascii="Times New Roman" w:hAnsi="Times New Roman"/>
          <w:b/>
          <w:i/>
          <w:sz w:val="20"/>
        </w:rPr>
        <w:t>Block Trade</w:t>
      </w:r>
      <w:r>
        <w:rPr>
          <w:rFonts w:ascii="Times New Roman" w:hAnsi="Times New Roman"/>
          <w:sz w:val="20"/>
        </w:rPr>
        <w:t>”) or (b) an “at the market” or similar registered offering through a broker, sales agent or distribution agent, whether as agent or principal, (an “</w:t>
      </w:r>
      <w:r>
        <w:rPr>
          <w:rFonts w:ascii="Times New Roman" w:hAnsi="Times New Roman"/>
          <w:b/>
          <w:i/>
          <w:sz w:val="20"/>
        </w:rPr>
        <w:t>Other Coordinated Offering</w:t>
      </w:r>
      <w:r>
        <w:rPr>
          <w:rFonts w:ascii="Times New Roman" w:hAnsi="Times New Roman"/>
          <w:sz w:val="20"/>
        </w:rPr>
        <w:t xml:space="preserve">”), in each case, either (x) with an anticipated aggregate offering price reasonably expected to be at least $30 million or (y) with respect to all remaining Registrable Securities held by the Demanding Holder, then such Demanding Holder only needs to notify the Company of the Block Trade or Other Coordinated Offering at least five (5) Business Days prior to the day such offering is to commence and the Company shall as expeditiously as possible use its commercially reasonable efforts to facilitate such Block Trade or Other Coordinated Offering; </w:t>
      </w:r>
      <w:r>
        <w:rPr>
          <w:rFonts w:ascii="Times New Roman" w:hAnsi="Times New Roman"/>
          <w:i/>
          <w:sz w:val="20"/>
        </w:rPr>
        <w:t>provided</w:t>
      </w:r>
      <w:r>
        <w:rPr>
          <w:rFonts w:ascii="Times New Roman" w:hAnsi="Times New Roman"/>
          <w:sz w:val="20"/>
        </w:rPr>
        <w:t xml:space="preserve"> that the Demanding Holders representing a majority of the Registrable Securities wishing to engage in the Block Trade or Other Coordinated Offering shall use commercially reasonable efforts to work with the Company and any Underwriters, brokers, sales agents or placement agents prior to making such request in order to facilitate preparation of the registration statement, prospectus and other offering documentation related to the Block Trade or Other Coordinated Offering. </w:t>
      </w:r>
    </w:p>
    <w:p>
      <w:pPr>
        <w:pStyle w:val="TextBody"/>
        <w:bidi w:val="0"/>
        <w:spacing w:before="240" w:after="0"/>
        <w:jc w:val="left"/>
        <w:rPr>
          <w:rFonts w:ascii="Times New Roman" w:hAnsi="Times New Roman"/>
          <w:sz w:val="20"/>
        </w:rPr>
      </w:pPr>
      <w:r>
        <w:rPr>
          <w:rFonts w:ascii="Times New Roman" w:hAnsi="Times New Roman"/>
          <w:sz w:val="20"/>
        </w:rPr>
        <w:t xml:space="preserve">2.4.2 Prior to the filing of the applicable “red herring” prospectus or prospectus supplement used in connection with a Block Trade or Other Coordinated Offering, a majority-in-interest of the Demanding Holders initiating such Block Trade or Other Coordinated Offering shall have the right to submit a Withdrawal Notice to the Company, the Underwriter or Underwriters (if any) and any brokers, sale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w:t>
      </w:r>
      <w:r>
        <w:rPr>
          <w:rFonts w:ascii="Times New Roman" w:hAnsi="Times New Roman"/>
          <w:sz w:val="20"/>
          <w:u w:val="single"/>
        </w:rPr>
        <w:t>Section 2.4.2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2.4.3 Notwithstanding anything to the contrary in this Agreement,</w:t>
      </w:r>
      <w:r>
        <w:rPr>
          <w:rFonts w:ascii="Times New Roman" w:hAnsi="Times New Roman"/>
          <w:sz w:val="20"/>
          <w:u w:val="single"/>
        </w:rPr>
        <w:t> Section 2.2</w:t>
      </w:r>
      <w:r>
        <w:rPr>
          <w:rFonts w:ascii="Times New Roman" w:hAnsi="Times New Roman"/>
          <w:sz w:val="20"/>
        </w:rPr>
        <w:t xml:space="preserve"> shall not apply to a Block Trade or Other Coordinated Offering initiated by a Demanding Holder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2.4.4 The Demanding Holder in a Block Trade or Other Coordinated Offering shall have the right to select the Underwriters and any brokers, sale agents or placement agents (if any) for such Block Trade or Other Coordinated Offering (in each case, which shall consist of one or more reputable nationally recognized investment banks). </w:t>
      </w:r>
    </w:p>
    <w:p>
      <w:pPr>
        <w:pStyle w:val="TextBody"/>
        <w:bidi w:val="0"/>
        <w:spacing w:before="240" w:after="0"/>
        <w:jc w:val="left"/>
        <w:rPr>
          <w:rFonts w:ascii="Times New Roman" w:hAnsi="Times New Roman"/>
          <w:sz w:val="20"/>
        </w:rPr>
      </w:pPr>
      <w:r>
        <w:rPr>
          <w:rFonts w:ascii="Times New Roman" w:hAnsi="Times New Roman"/>
          <w:sz w:val="20"/>
        </w:rPr>
        <w:t xml:space="preserve">2.4.5 Subject to </w:t>
      </w:r>
      <w:r>
        <w:rPr>
          <w:rFonts w:ascii="Times New Roman" w:hAnsi="Times New Roman"/>
          <w:sz w:val="20"/>
          <w:u w:val="single"/>
        </w:rPr>
        <w:t>Section 2.4.6</w:t>
      </w:r>
      <w:r>
        <w:rPr>
          <w:rFonts w:ascii="Times New Roman" w:hAnsi="Times New Roman"/>
          <w:sz w:val="20"/>
        </w:rPr>
        <w:t xml:space="preserve">, each of (i) the Sponsor Holders, as a group, (ii) the Teamshares Holders, as a group, (iii) the PIPE Holders, as a group, and (iv) the Other Holders, as a group, may demand no more than two (2) Block Trades or Other Coordinated Offerings pursuant to this </w:t>
      </w:r>
      <w:r>
        <w:rPr>
          <w:rFonts w:ascii="Times New Roman" w:hAnsi="Times New Roman"/>
          <w:sz w:val="20"/>
          <w:u w:val="single"/>
        </w:rPr>
        <w:t>Section 2.4</w:t>
      </w:r>
      <w:r>
        <w:rPr>
          <w:rFonts w:ascii="Times New Roman" w:hAnsi="Times New Roman"/>
          <w:sz w:val="20"/>
        </w:rPr>
        <w:t xml:space="preserve"> in any twelve (12) month period. For the avoidance of doubt, any Block Trade or Other Coordinated Offering effected pursuant to this </w:t>
      </w:r>
      <w:r>
        <w:rPr>
          <w:rFonts w:ascii="Times New Roman" w:hAnsi="Times New Roman"/>
          <w:sz w:val="20"/>
          <w:u w:val="single"/>
        </w:rPr>
        <w:t>Section 2.4</w:t>
      </w:r>
      <w:r>
        <w:rPr>
          <w:rFonts w:ascii="Times New Roman" w:hAnsi="Times New Roman"/>
          <w:sz w:val="20"/>
        </w:rPr>
        <w:t xml:space="preserve"> shall not be counted as a demand for an Underwritten Shelf Takedown pursuant to </w:t>
      </w:r>
      <w:r>
        <w:rPr>
          <w:rFonts w:ascii="Times New Roman" w:hAnsi="Times New Roman"/>
          <w:sz w:val="20"/>
          <w:u w:val="single"/>
        </w:rPr>
        <w:t>Section 2.1.4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2.4.6 Notwithstanding anything to the contrary in this Agreement, with respect to (i) the Sponsor Holders, as a group, (ii) the Teamshares Holders, as a group, or (iii) the Other Holders, as a group, in no event may the number of Block Trades or Other Coordinated Offerings demanded pursuant to this </w:t>
      </w:r>
      <w:r>
        <w:rPr>
          <w:rFonts w:ascii="Times New Roman" w:hAnsi="Times New Roman"/>
          <w:sz w:val="20"/>
          <w:u w:val="single"/>
        </w:rPr>
        <w:t>Section 2.4</w:t>
      </w:r>
      <w:r>
        <w:rPr>
          <w:rFonts w:ascii="Times New Roman" w:hAnsi="Times New Roman"/>
          <w:sz w:val="20"/>
        </w:rPr>
        <w:t xml:space="preserve"> plus the number of Underwritten Shelf Takedowns demanded pursuant to </w:t>
      </w:r>
      <w:r>
        <w:rPr>
          <w:rFonts w:ascii="Times New Roman" w:hAnsi="Times New Roman"/>
          <w:sz w:val="20"/>
          <w:u w:val="single"/>
        </w:rPr>
        <w:t>Section 2.1.4</w:t>
      </w:r>
      <w:r>
        <w:rPr>
          <w:rFonts w:ascii="Times New Roman" w:hAnsi="Times New Roman"/>
          <w:sz w:val="20"/>
        </w:rPr>
        <w:t xml:space="preserve"> exceed a total of three (3) demands for such group in any twelve (12) month period.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2.5 </w:t>
      </w:r>
      <w:r>
        <w:rPr>
          <w:rFonts w:ascii="Times New Roman" w:hAnsi="Times New Roman"/>
          <w:sz w:val="20"/>
          <w:u w:val="single"/>
        </w:rPr>
        <w:t>Legends</w:t>
      </w:r>
      <w:r>
        <w:rPr>
          <w:rFonts w:ascii="Times New Roman" w:hAnsi="Times New Roman"/>
          <w:sz w:val="20"/>
        </w:rPr>
        <w:t xml:space="preserve">. In connection with any sale or other disposition of the Registrable Securities by a Holder pursuant to Rule 144 promulgated under the Securities Act (or any successor rule promulgated thereafter by the Commission) and upon compliance by the Holder with the requirements of this </w:t>
      </w:r>
      <w:r>
        <w:rPr>
          <w:rFonts w:ascii="Times New Roman" w:hAnsi="Times New Roman"/>
          <w:sz w:val="20"/>
          <w:u w:val="single"/>
        </w:rPr>
        <w:t>Section 2.5</w:t>
      </w:r>
      <w:r>
        <w:rPr>
          <w:rFonts w:ascii="Times New Roman" w:hAnsi="Times New Roman"/>
          <w:sz w:val="20"/>
        </w:rPr>
        <w:t>, if requested by the Holder, the Company shall cause the transfer agent for the Registrable Securities (the “</w:t>
      </w:r>
      <w:r>
        <w:rPr>
          <w:rFonts w:ascii="Times New Roman" w:hAnsi="Times New Roman"/>
          <w:b/>
          <w:i/>
          <w:sz w:val="20"/>
        </w:rPr>
        <w:t>Transfer Agent</w:t>
      </w:r>
      <w:r>
        <w:rPr>
          <w:rFonts w:ascii="Times New Roman" w:hAnsi="Times New Roman"/>
          <w:sz w:val="20"/>
        </w:rPr>
        <w:t xml:space="preserve">”) to remove any restrictive legends related to the book entry account holding such Registrable Securities and make a new, unlegended entry for such book entry shares sold or disposed of without restrictive legends within one (1) trading day of any such request therefor from the Holder; provided that the Company and the Transfer Agent have timely received from the Holder customary representations and other documentation reasonably acceptable to the Company and the Transfer Agent in connection therewith. Subject to receipt from the Holder by the Company and the Transfer Agent of customary representations and other documentation reasonably acceptable to the Company and the Transfer Agent in connection therewith, the Holder may request that the Company remove any legend from the book entry position evidencing its Registrable Securities and the Company will, if required by the Transfer Agent, use its commercially reasonable efforts to cause an opinion of the Company’s counsel be provided, in a form reasonably acceptable to the Transfer Agent, to the effect that the removal of such restrictive legends in such circumstances may be effected under the Securities Act, following the earliest of such time as such Registrable Securities (i) are subject to or have been or are about to be sold pursuant to an effective registration statement or (ii) have been or are about to be sold pursuant to Rule 144 promulgated under the Securities Act (or any successor rule promulgated thereafter by the Commission). If restrictive legends are no longer required for such Registrable Securities pursuant to the foregoing, the Company shall, in accordance with the provisions of this section and within one (1) trading day of any request therefor from the Holder accompanied by such customary and reasonably acceptable representations and other documentation referred to above establishing that restrictive legends are no longer required, deliver to the Transfer Agent irrevocable instructions that the Transfer Agent shall make a new, unlegended entry for such book entry shares. The Company shall be responsible for the fees of its Transfer Agent, its legal counsel and all DTC fees associated with such issuance.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COMPANY PROCEDURES </w:t>
      </w:r>
    </w:p>
    <w:p>
      <w:pPr>
        <w:pStyle w:val="TextBody"/>
        <w:bidi w:val="0"/>
        <w:spacing w:before="240" w:after="0"/>
        <w:jc w:val="left"/>
        <w:rPr>
          <w:rFonts w:ascii="Times New Roman" w:hAnsi="Times New Roman"/>
          <w:sz w:val="20"/>
        </w:rPr>
      </w:pPr>
      <w:r>
        <w:rPr>
          <w:rFonts w:ascii="Times New Roman" w:hAnsi="Times New Roman"/>
          <w:sz w:val="20"/>
        </w:rPr>
        <w:t>3.1 </w:t>
      </w:r>
      <w:r>
        <w:rPr>
          <w:rFonts w:ascii="Times New Roman" w:hAnsi="Times New Roman"/>
          <w:sz w:val="20"/>
          <w:u w:val="single"/>
        </w:rPr>
        <w:t>General Procedures</w:t>
      </w:r>
      <w:r>
        <w:rPr>
          <w:rFonts w:ascii="Times New Roman" w:hAnsi="Times New Roman"/>
          <w:sz w:val="20"/>
        </w:rPr>
        <w:t xml:space="preserve">. In connection with any Shelf and/or Shelf Takedown, the Company shall use its commercially reasonable efforts to effect such Registration to permit the sale of such Registrable Securities in accordance with the intended plan of distribution thereof (and including all manners of distribution in such Registration Statement as Holders may reasonably request in connection with the filing of such Registration Statement and as permitted by law, including distribution of Registrable Securities to a Holder’s members, securityholders or partners), and pursuant thereto the Company shall, as expeditiously as possible: </w:t>
      </w:r>
    </w:p>
    <w:p>
      <w:pPr>
        <w:pStyle w:val="TextBody"/>
        <w:bidi w:val="0"/>
        <w:spacing w:before="240" w:after="0"/>
        <w:jc w:val="left"/>
        <w:rPr>
          <w:rFonts w:ascii="Times New Roman" w:hAnsi="Times New Roman"/>
          <w:sz w:val="20"/>
        </w:rPr>
      </w:pPr>
      <w:r>
        <w:rPr>
          <w:rFonts w:ascii="Times New Roman" w:hAnsi="Times New Roman"/>
          <w:sz w:val="20"/>
        </w:rPr>
        <w:t xml:space="preserve">3.1.1 prepare and file with the Commission, as soon as reasonably practicable, a Registration Statement with respect to such Registrable Securities and use its commercially reasonable efforts to cause such Registration Statement to become effective and remain effective until all Registrable Securities have ceased to be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3.1.2 prepare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the Company or by the Securities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 </w:t>
      </w:r>
    </w:p>
    <w:p>
      <w:pPr>
        <w:pStyle w:val="TextBody"/>
        <w:bidi w:val="0"/>
        <w:spacing w:before="240" w:after="0"/>
        <w:jc w:val="left"/>
        <w:rPr>
          <w:rFonts w:ascii="Times New Roman" w:hAnsi="Times New Roman"/>
          <w:sz w:val="20"/>
        </w:rPr>
      </w:pPr>
      <w:r>
        <w:rPr>
          <w:rFonts w:ascii="Times New Roman" w:hAnsi="Times New Roman"/>
          <w:sz w:val="20"/>
        </w:rPr>
        <w:t xml:space="preserve">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hAnsi="Times New Roman"/>
          <w:i/>
          <w:sz w:val="20"/>
        </w:rPr>
        <w:t>provided, however</w:t>
      </w:r>
      <w:r>
        <w:rPr>
          <w:rFonts w:ascii="Times New Roman" w:hAnsi="Times New Roman"/>
          <w:sz w:val="20"/>
        </w:rPr>
        <w:t xml:space="preserve">,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 </w:t>
      </w:r>
    </w:p>
    <w:p>
      <w:pPr>
        <w:pStyle w:val="TextBody"/>
        <w:bidi w:val="0"/>
        <w:spacing w:before="240" w:after="0"/>
        <w:jc w:val="left"/>
        <w:rPr>
          <w:rFonts w:ascii="Times New Roman" w:hAnsi="Times New Roman"/>
          <w:sz w:val="20"/>
        </w:rPr>
      </w:pPr>
      <w:r>
        <w:rPr>
          <w:rFonts w:ascii="Times New Roman" w:hAnsi="Times New Roman"/>
          <w:sz w:val="20"/>
        </w:rPr>
        <w:t xml:space="preserve">3.1.5 cause all such Registrable Securities to be listed on each national securities exchange or automated quotation system on which similar securities issued by the Company are then listed; </w:t>
      </w:r>
    </w:p>
    <w:p>
      <w:pPr>
        <w:pStyle w:val="TextBody"/>
        <w:bidi w:val="0"/>
        <w:spacing w:before="240" w:after="0"/>
        <w:jc w:val="left"/>
        <w:rPr>
          <w:rFonts w:ascii="Times New Roman" w:hAnsi="Times New Roman"/>
          <w:sz w:val="20"/>
        </w:rPr>
      </w:pPr>
      <w:r>
        <w:rPr>
          <w:rFonts w:ascii="Times New Roman" w:hAnsi="Times New Roman"/>
          <w:sz w:val="20"/>
        </w:rPr>
        <w:t xml:space="preserve">3.1.6 provide a transfer agent or warrant agent, as applicable, and registrar for all such Registrable Securities no later than the effective date of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3.1.7 advise each Holder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 </w:t>
      </w:r>
    </w:p>
    <w:p>
      <w:pPr>
        <w:pStyle w:val="TextBody"/>
        <w:bidi w:val="0"/>
        <w:spacing w:before="240" w:after="0"/>
        <w:jc w:val="left"/>
        <w:rPr>
          <w:rFonts w:ascii="Times New Roman" w:hAnsi="Times New Roman"/>
          <w:sz w:val="20"/>
        </w:rPr>
      </w:pPr>
      <w:r>
        <w:rPr>
          <w:rFonts w:ascii="Times New Roman" w:hAnsi="Times New Roman"/>
          <w:sz w:val="20"/>
        </w:rPr>
        <w:t xml:space="preserve">3.1.8 prior to the filing of any Registration Statement or Prospectus or any amendment or supplement to such Registration Statement or Prospectus (or such shorter period of time as (a) may be necessary in order to comply with the Securities Act, the Exchange Act and the rules and regulations promulgated under the Securities Act or Exchange Act, as applicable or (b) advisable in order to reduce the number of days that sales are suspended pursuant to </w:t>
      </w:r>
      <w:r>
        <w:rPr>
          <w:rFonts w:ascii="Times New Roman" w:hAnsi="Times New Roman"/>
          <w:sz w:val="20"/>
          <w:u w:val="single"/>
        </w:rPr>
        <w:t>Section 3.4</w:t>
      </w:r>
      <w:r>
        <w:rPr>
          <w:rFonts w:ascii="Times New Roman" w:hAnsi="Times New Roman"/>
          <w:sz w:val="20"/>
        </w:rPr>
        <w:t xml:space="preserve">), furnish a copy thereof to each Holder of such Registrable Securities and its counsel (excluding any exhibits thereto and any filing made under the Exchange Act that is to be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3.1.9 promptly as is reasonably practicable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hAnsi="Times New Roman"/>
          <w:sz w:val="20"/>
          <w:u w:val="single"/>
        </w:rPr>
        <w:t>Section 3.4</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3.1.10 in the event of an Underwritten Offering, a Block Trade, an Other Coordinated Offering, or sale by a broker, placement agent or sales agent that is registered pursuant to a Registration Statement, permit a representative of the Holders (such representative to be selected by a majority of the participating Holders), the Underwriters or other financial institutions facilitating such Underwritten Offering, Block Trade, Other Coordinated Offering or other sale pursuant to such Registration, if any, and any attorney, consultant or accountant retained by such Holders collectively, Underwriters or other financial institutions to participate, at each such Person’s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w:t>
      </w:r>
      <w:r>
        <w:rPr>
          <w:rFonts w:ascii="Times New Roman" w:hAnsi="Times New Roman"/>
          <w:i/>
          <w:sz w:val="20"/>
        </w:rPr>
        <w:t>provided, however</w:t>
      </w:r>
      <w:r>
        <w:rPr>
          <w:rFonts w:ascii="Times New Roman" w:hAnsi="Times New Roman"/>
          <w:sz w:val="20"/>
        </w:rPr>
        <w:t xml:space="preserve">, that such representative, Underwriters or financial institutions agree to confidentiality arrangements, in form and substance reasonably satisfactory to the Company, prior to the release or disclosure of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3.1.11 obtain a “comfort” letter (including a bring-down letter dated as of the date the Registrable Securities are delivered for sale pursuant to such Registration) from the Company’s independent registered public accountants in the event of an Underwritten Offering, a Block Trade, an Other Coordinated Offering or a sale by a broker, placement agent or sales agent pursuant to a Registration Statement (subject to such Underwriter or other financial institution facilitating such offering providing such certification or representation as reasonably requested by the Company’s independent registered public accountings and the Company’s counsel), in customary form and covering such matters of the type customarily covered by “comfort” letters as the managing Underwriter or other similar type of sales agent or placement agent may reasonably request, and the participating Holders may rely on any such accountant comfort letter to the same extent as the managing Underwriter, agent or placement agent; </w:t>
      </w:r>
    </w:p>
    <w:p>
      <w:pPr>
        <w:pStyle w:val="TextBody"/>
        <w:bidi w:val="0"/>
        <w:spacing w:before="240" w:after="0"/>
        <w:jc w:val="left"/>
        <w:rPr>
          <w:rFonts w:ascii="Times New Roman" w:hAnsi="Times New Roman"/>
          <w:sz w:val="20"/>
        </w:rPr>
      </w:pPr>
      <w:r>
        <w:rPr>
          <w:rFonts w:ascii="Times New Roman" w:hAnsi="Times New Roman"/>
          <w:sz w:val="20"/>
        </w:rPr>
        <w:t xml:space="preserve">3.1.12 in the event of an Underwritten Offering, a Block Trade, an Other Coordinated Offering or sale by a broker, placement agent or sales agent pursuant to a Registration Statement, on the date the Registrable Securities are delivered for sale pursuant to such Registration, obtain an opinion and negative assurance letter, dated such date, of counsel representing the Company for the purposes of such Registration, addressed to the participating Holders, the broker, placement agent or sales agent, if any, and the Underwriters, if any, covering such legal matters with respect to the Registration in respect of which such opinion is being given as the participating Holders, broker, placement agent, sales agent, or Underwriter may reasonably request and as are customarily included in such opinions and negative assurance letters, provided, in each case, that such participating Holders provide such information to such counsel as is customarily required for, or is reasonably requested by such counsel for purposes of, such opinion or negative assurance letter; </w:t>
      </w:r>
    </w:p>
    <w:p>
      <w:pPr>
        <w:pStyle w:val="TextBody"/>
        <w:bidi w:val="0"/>
        <w:spacing w:before="240" w:after="0"/>
        <w:jc w:val="left"/>
        <w:rPr>
          <w:rFonts w:ascii="Times New Roman" w:hAnsi="Times New Roman"/>
          <w:sz w:val="20"/>
        </w:rPr>
      </w:pPr>
      <w:r>
        <w:rPr>
          <w:rFonts w:ascii="Times New Roman" w:hAnsi="Times New Roman"/>
          <w:sz w:val="20"/>
        </w:rPr>
        <w:t xml:space="preserve">3.1.13 in the event of any Underwritten Offering, a Block Trade, an Other Coordinated Offering or sale by a broker, placement agent or sales agent pursuant to a Registration Statement, enter into and perform its obligations under an underwriting agreement, purchase agreement, sales agreement or placement agreement, in usual and customary form, with the managing Underwriter or broker, sales agent or placement agent of such offering or sale; </w:t>
      </w:r>
    </w:p>
    <w:p>
      <w:pPr>
        <w:pStyle w:val="TextBody"/>
        <w:bidi w:val="0"/>
        <w:spacing w:before="240" w:after="0"/>
        <w:jc w:val="left"/>
        <w:rPr>
          <w:rFonts w:ascii="Times New Roman" w:hAnsi="Times New Roman"/>
          <w:sz w:val="20"/>
        </w:rPr>
      </w:pPr>
      <w:r>
        <w:rPr>
          <w:rFonts w:ascii="Times New Roman" w:hAnsi="Times New Roman"/>
          <w:sz w:val="20"/>
        </w:rPr>
        <w:t xml:space="preserve">3.1.14 make available to its security holders, as soon as reasonably practicable, an earnings statement covering the period of at least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3.1.15 with respect to an Underwritten Offering pursuant to </w:t>
      </w:r>
      <w:r>
        <w:rPr>
          <w:rFonts w:ascii="Times New Roman" w:hAnsi="Times New Roman"/>
          <w:sz w:val="20"/>
          <w:u w:val="single"/>
        </w:rPr>
        <w:t>Section 2.1.4</w:t>
      </w:r>
      <w:r>
        <w:rPr>
          <w:rFonts w:ascii="Times New Roman" w:hAnsi="Times New Roman"/>
          <w:sz w:val="20"/>
        </w:rPr>
        <w:t xml:space="preserve">, use its commercially reasonable efforts to make available senior executives of the Company to participate in customary “road show” presentations that may be reasonably requested by the Underwriter in such Underwritten Offering; and </w:t>
      </w:r>
    </w:p>
    <w:p>
      <w:pPr>
        <w:pStyle w:val="TextBody"/>
        <w:bidi w:val="0"/>
        <w:spacing w:before="240" w:after="0"/>
        <w:jc w:val="left"/>
        <w:rPr>
          <w:rFonts w:ascii="Times New Roman" w:hAnsi="Times New Roman"/>
          <w:sz w:val="20"/>
        </w:rPr>
      </w:pPr>
      <w:r>
        <w:rPr>
          <w:rFonts w:ascii="Times New Roman" w:hAnsi="Times New Roman"/>
          <w:sz w:val="20"/>
        </w:rPr>
        <w:t xml:space="preserve">3.1.16 otherwise, in good faith, cooperate reasonably with, and take such customary actions as may reasonably be requested by the Holders participating in such Registration, consistent with the terms of this Agreement, in connection with such Registration.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Company shall not be required to provide any documents or information to an Underwriter or other sales agent or placement agent if such Underwriter or other sales agent or placement agent has not then been named with respect to the applicable Underwritten Offering or other offering involving a registration as an Underwriter or broker, sales agent or placement agent, as applicable. </w:t>
      </w:r>
    </w:p>
    <w:p>
      <w:pPr>
        <w:pStyle w:val="TextBody"/>
        <w:bidi w:val="0"/>
        <w:spacing w:before="240" w:after="0"/>
        <w:jc w:val="left"/>
        <w:rPr>
          <w:rFonts w:ascii="Times New Roman" w:hAnsi="Times New Roman"/>
          <w:sz w:val="20"/>
        </w:rPr>
      </w:pPr>
      <w:r>
        <w:rPr>
          <w:rFonts w:ascii="Times New Roman" w:hAnsi="Times New Roman"/>
          <w:sz w:val="20"/>
        </w:rPr>
        <w:t>3.2 </w:t>
      </w:r>
      <w:r>
        <w:rPr>
          <w:rFonts w:ascii="Times New Roman" w:hAnsi="Times New Roman"/>
          <w:sz w:val="20"/>
          <w:u w:val="single"/>
        </w:rPr>
        <w:t>Registration Expenses</w:t>
      </w:r>
      <w:r>
        <w:rPr>
          <w:rFonts w:ascii="Times New Roman" w:hAnsi="Times New Roman"/>
          <w:sz w:val="20"/>
        </w:rPr>
        <w:t xml:space="preserve">. The Registration Expenses of all Registrations shall be borne by the Company. It is acknowledged by the Holders that the Holders shall bear all incremental selling expenses relating to the sale of Registrable Securities, such as Underwriters’ or agents’ commissions and discounts, brokerage fees, Underwriter marketing costs and, other than as set forth in the definition of “Registration Expenses,” all reasonable fees and expenses of any legal counsel representing the Holders. </w:t>
      </w:r>
    </w:p>
    <w:p>
      <w:pPr>
        <w:pStyle w:val="TextBody"/>
        <w:bidi w:val="0"/>
        <w:spacing w:before="240" w:after="0"/>
        <w:jc w:val="left"/>
        <w:rPr>
          <w:rFonts w:ascii="Times New Roman" w:hAnsi="Times New Roman"/>
          <w:sz w:val="20"/>
        </w:rPr>
      </w:pPr>
      <w:r>
        <w:rPr>
          <w:rFonts w:ascii="Times New Roman" w:hAnsi="Times New Roman"/>
          <w:sz w:val="20"/>
        </w:rPr>
        <w:t>3.3 </w:t>
      </w:r>
      <w:r>
        <w:rPr>
          <w:rFonts w:ascii="Times New Roman" w:hAnsi="Times New Roman"/>
          <w:sz w:val="20"/>
          <w:u w:val="single"/>
        </w:rPr>
        <w:t>Requirements for Participation in Underwritten Offerings</w:t>
      </w:r>
      <w:r>
        <w:rPr>
          <w:rFonts w:ascii="Times New Roman" w:hAnsi="Times New Roman"/>
          <w:sz w:val="20"/>
        </w:rPr>
        <w:t xml:space="preserve">. The Holders of Registrable Securities shall provide such information as may reasonably be requested by the Company, or the managing Underwriter or placement agent or sales agent, if any, in connection with the preparation of any Registration Statement or Prospectus, including amendments and supplements thereto, in order to effect the registration of any Registrable Securities under the Securities Act pursuant to </w:t>
      </w:r>
      <w:r>
        <w:rPr>
          <w:rFonts w:ascii="Times New Roman" w:hAnsi="Times New Roman"/>
          <w:sz w:val="20"/>
          <w:u w:val="single"/>
        </w:rPr>
        <w:t>Article II</w:t>
      </w:r>
      <w:r>
        <w:rPr>
          <w:rFonts w:ascii="Times New Roman" w:hAnsi="Times New Roman"/>
          <w:sz w:val="20"/>
        </w:rPr>
        <w:t xml:space="preserve"> and in connection with the Company’s obligation to comply with federal and applicable state securities Laws. Notwithstanding anything in this Agreement to the contrary, if any Holder does not timely provide the Company with its requested Holder Information, the Company may exclude such Holder’s Registrable Securities from the applicable Registration Statement or Prospectus if the Company determines, based on the advice of counsel, that such information is necessary to effect the registration and such Holder continues thereafter to withhold such information. No Person may participate in any Underwritten Offering or other coordinated offering for equity securities of the Company pursuant to a Registration initiated by the Company hereunder unless such Person (i) agrees to sell such Person’s securities on the basis provided in any arrangements approved by the Company and (ii) timely completes and executes all customary questionnaires, powers of attorney, indemnities, lock-up agreements, underwriting or other agreements and other customary documents as may be reasonably required under the terms of such arrangements. The exclusion of a Holder’s Registrable Securities as a result of this </w:t>
      </w:r>
      <w:r>
        <w:rPr>
          <w:rFonts w:ascii="Times New Roman" w:hAnsi="Times New Roman"/>
          <w:sz w:val="20"/>
          <w:u w:val="single"/>
        </w:rPr>
        <w:t>Section 3.3</w:t>
      </w:r>
      <w:r>
        <w:rPr>
          <w:rFonts w:ascii="Times New Roman" w:hAnsi="Times New Roman"/>
          <w:sz w:val="20"/>
        </w:rPr>
        <w:t xml:space="preserve"> shall not affect the registration of the other Registrable Securities to be included in such Registration. </w:t>
      </w:r>
    </w:p>
    <w:p>
      <w:pPr>
        <w:pStyle w:val="TextBody"/>
        <w:bidi w:val="0"/>
        <w:spacing w:before="240" w:after="0"/>
        <w:jc w:val="left"/>
        <w:rPr>
          <w:rFonts w:ascii="Times New Roman" w:hAnsi="Times New Roman"/>
          <w:sz w:val="20"/>
        </w:rPr>
      </w:pPr>
      <w:r>
        <w:rPr>
          <w:rFonts w:ascii="Times New Roman" w:hAnsi="Times New Roman"/>
          <w:sz w:val="20"/>
        </w:rPr>
        <w:t>3.4 </w:t>
      </w:r>
      <w:r>
        <w:rPr>
          <w:rFonts w:ascii="Times New Roman" w:hAnsi="Times New Roman"/>
          <w:sz w:val="20"/>
          <w:u w:val="single"/>
        </w:rPr>
        <w:t>Suspension of Sales; Adverse Disclosure; Restrictions on Registration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3.4.1 Upon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w:t>
      </w:r>
    </w:p>
    <w:p>
      <w:pPr>
        <w:pStyle w:val="TextBody"/>
        <w:bidi w:val="0"/>
        <w:spacing w:before="240" w:after="0"/>
        <w:jc w:val="left"/>
        <w:rPr>
          <w:rFonts w:ascii="Times New Roman" w:hAnsi="Times New Roman"/>
          <w:sz w:val="20"/>
        </w:rPr>
      </w:pPr>
      <w:r>
        <w:rPr>
          <w:rFonts w:ascii="Times New Roman" w:hAnsi="Times New Roman"/>
          <w:sz w:val="20"/>
        </w:rPr>
        <w:t xml:space="preserve">3.4.2 If the filing, initial effectiveness or continued use of a Registration Statement in respect of any Registration at any time would (i) require the Company to make an Adverse Disclosure, (ii) require the inclusion in such Registration Statement of financial statements that are unavailable to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for reasons beyond the Company’s control or (iii) in the good faith judgment of the majority of the Board, be seriously detrimental to the Company, and the majority of the Board concludes as a result that it is essential to defer such filing, initial effectiveness or continued use at such time, the Company may,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determined in good faith by the Company to be necessary for such purpose. In the event the Company exercises its rights under this </w:t>
      </w:r>
      <w:r>
        <w:rPr>
          <w:rFonts w:ascii="Times New Roman" w:hAnsi="Times New Roman"/>
          <w:sz w:val="20"/>
          <w:u w:val="single"/>
        </w:rPr>
        <w:t>Section 3.4.2</w:t>
      </w:r>
      <w:r>
        <w:rPr>
          <w:rFonts w:ascii="Times New Roman" w:hAnsi="Times New Roman"/>
          <w:sz w:val="20"/>
        </w:rPr>
        <w:t xml:space="preserve">,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 </w:t>
      </w:r>
    </w:p>
    <w:p>
      <w:pPr>
        <w:pStyle w:val="TextBody"/>
        <w:bidi w:val="0"/>
        <w:spacing w:before="240" w:after="0"/>
        <w:jc w:val="left"/>
        <w:rPr>
          <w:rFonts w:ascii="Times New Roman" w:hAnsi="Times New Roman"/>
          <w:sz w:val="20"/>
        </w:rPr>
      </w:pPr>
      <w:r>
        <w:rPr>
          <w:rFonts w:ascii="Times New Roman" w:hAnsi="Times New Roman"/>
          <w:sz w:val="20"/>
        </w:rPr>
        <w:t xml:space="preserve">3.4.3 Subject to </w:t>
      </w:r>
      <w:r>
        <w:rPr>
          <w:rFonts w:ascii="Times New Roman" w:hAnsi="Times New Roman"/>
          <w:sz w:val="20"/>
          <w:u w:val="single"/>
        </w:rPr>
        <w:t>Section 3.4.4</w:t>
      </w:r>
      <w:r>
        <w:rPr>
          <w:rFonts w:ascii="Times New Roman" w:hAnsi="Times New Roman"/>
          <w:sz w:val="20"/>
        </w:rPr>
        <w:t>, if (i) during the period starting with the date 60 days prior to the Company’s good faith estimate of the date of the filing of, and ending on a date 120 days after the effective date of, a Company-initiated Registration, and provided that the Company continues to actively employ, in good faith, all commercially reasonable efforts to maintain the effectiveness of the applicable Shelf Registration, or (ii) if, pursuant to</w:t>
      </w:r>
      <w:r>
        <w:rPr>
          <w:rFonts w:ascii="Times New Roman" w:hAnsi="Times New Roman"/>
          <w:sz w:val="20"/>
          <w:u w:val="single"/>
        </w:rPr>
        <w:t> Section 2.1.4</w:t>
      </w:r>
      <w:r>
        <w:rPr>
          <w:rFonts w:ascii="Times New Roman" w:hAnsi="Times New Roman"/>
          <w:sz w:val="20"/>
        </w:rPr>
        <w:t xml:space="preserve">, Holders have requested an Underwritten Shelf Takedown and the Company and such Holders are unable to obtain the commitment of underwriters to firmly underwrite such offering, then, in each case, the Company may, upon giving prompt written notice of such action to the Holders, delay any other registered offering pursuant to </w:t>
      </w:r>
      <w:r>
        <w:rPr>
          <w:rFonts w:ascii="Times New Roman" w:hAnsi="Times New Roman"/>
          <w:sz w:val="20"/>
          <w:u w:val="single"/>
        </w:rPr>
        <w:t>Section 2.1.4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3.4.4 The right to delay or suspend any filing, initial effectiveness or continued use of a Registration Statement pursuant to </w:t>
      </w:r>
      <w:r>
        <w:rPr>
          <w:rFonts w:ascii="Times New Roman" w:hAnsi="Times New Roman"/>
          <w:sz w:val="20"/>
          <w:u w:val="single"/>
        </w:rPr>
        <w:t>Section 3.4.2</w:t>
      </w:r>
      <w:r>
        <w:rPr>
          <w:rFonts w:ascii="Times New Roman" w:hAnsi="Times New Roman"/>
          <w:sz w:val="20"/>
        </w:rPr>
        <w:t xml:space="preserve"> or a registered offering pursuant to </w:t>
      </w:r>
      <w:r>
        <w:rPr>
          <w:rFonts w:ascii="Times New Roman" w:hAnsi="Times New Roman"/>
          <w:sz w:val="20"/>
          <w:u w:val="single"/>
        </w:rPr>
        <w:t>Section 3.4.3</w:t>
      </w:r>
      <w:r>
        <w:rPr>
          <w:rFonts w:ascii="Times New Roman" w:hAnsi="Times New Roman"/>
          <w:sz w:val="20"/>
        </w:rPr>
        <w:t xml:space="preserve"> shall be exercised by the Company, in the aggregate, for not more than 60 consecutive calendar days or more 90 total calendar days in each case, during any 12-month period. </w:t>
      </w:r>
    </w:p>
    <w:p>
      <w:pPr>
        <w:pStyle w:val="TextBody"/>
        <w:bidi w:val="0"/>
        <w:spacing w:before="240" w:after="0"/>
        <w:jc w:val="left"/>
        <w:rPr>
          <w:rFonts w:ascii="Times New Roman" w:hAnsi="Times New Roman"/>
          <w:sz w:val="20"/>
        </w:rPr>
      </w:pPr>
      <w:r>
        <w:rPr>
          <w:rFonts w:ascii="Times New Roman" w:hAnsi="Times New Roman"/>
          <w:sz w:val="20"/>
        </w:rPr>
        <w:t>3.5 </w:t>
      </w:r>
      <w:r>
        <w:rPr>
          <w:rFonts w:ascii="Times New Roman" w:hAnsi="Times New Roman"/>
          <w:sz w:val="20"/>
          <w:u w:val="single"/>
        </w:rPr>
        <w:t>Reporting Obligations</w:t>
      </w:r>
      <w:r>
        <w:rPr>
          <w:rFonts w:ascii="Times New Roman" w:hAnsi="Times New Roman"/>
          <w:sz w:val="20"/>
        </w:rPr>
        <w:t xml:space="preserve">. As long as any Holder shall own Registrable Securities, the Company, at all times while it shall be a reporting company under the Exchange Act, covenants to use commercially reasonable efforts to file timely (or obtain extensions in respect thereof and file within the applicable grace period) all reports required to be filed by the Company after the date hereof pursuant to Section 13(a) or 15(d) of the Exchange Act. The Company further covenants that it shall take such further action as any Holder may reasonably request, to the extent required from time to time to enable such Holder to sell Registrable Securities held by such Holder without registration under the Securities Act within the limitation of the exemptions provided by Rule 144. </w:t>
      </w:r>
    </w:p>
    <w:p>
      <w:pPr>
        <w:pStyle w:val="TextBody"/>
        <w:bidi w:val="0"/>
        <w:spacing w:before="240" w:after="0"/>
        <w:jc w:val="left"/>
        <w:rPr>
          <w:rFonts w:ascii="Times New Roman" w:hAnsi="Times New Roman"/>
          <w:sz w:val="20"/>
        </w:rPr>
      </w:pPr>
      <w:r>
        <w:rPr>
          <w:rFonts w:ascii="Times New Roman" w:hAnsi="Times New Roman"/>
          <w:sz w:val="20"/>
        </w:rPr>
        <w:t>3.6 </w:t>
      </w:r>
      <w:r>
        <w:rPr>
          <w:rFonts w:ascii="Times New Roman" w:hAnsi="Times New Roman"/>
          <w:sz w:val="20"/>
          <w:u w:val="single"/>
        </w:rPr>
        <w:t>Opt-Out Notices</w:t>
      </w:r>
      <w:r>
        <w:rPr>
          <w:rFonts w:ascii="Times New Roman" w:hAnsi="Times New Roman"/>
          <w:sz w:val="20"/>
        </w:rPr>
        <w:t>. Any Holder may deliver written notice (an “</w:t>
      </w:r>
      <w:r>
        <w:rPr>
          <w:rFonts w:ascii="Times New Roman" w:hAnsi="Times New Roman"/>
          <w:b/>
          <w:i/>
          <w:sz w:val="20"/>
        </w:rPr>
        <w:t>Opt-Out Notice</w:t>
      </w:r>
      <w:r>
        <w:rPr>
          <w:rFonts w:ascii="Times New Roman" w:hAnsi="Times New Roman"/>
          <w:sz w:val="20"/>
        </w:rPr>
        <w:t xml:space="preserve">”) to the Company requesting that such Holder not receive any notice from the Company otherwise required by this Agreement regarding the proposed filing or withdrawal of any Shelf or Piggyback Registration, or the occurrence of any suspension event under </w:t>
      </w:r>
      <w:r>
        <w:rPr>
          <w:rFonts w:ascii="Times New Roman" w:hAnsi="Times New Roman"/>
          <w:sz w:val="20"/>
          <w:u w:val="single"/>
        </w:rPr>
        <w:t>Section 3.4</w:t>
      </w:r>
      <w:r>
        <w:rPr>
          <w:rFonts w:ascii="Times New Roman" w:hAnsi="Times New Roman"/>
          <w:sz w:val="20"/>
        </w:rPr>
        <w:t xml:space="preserve">; provided that such Holder may later revoke any Opt-Out Notice in writing. Following receipt of an Opt-Out Notice, the Company shall not deliver any such notices to the applicable Holder until such revocation.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AND CONTRIBUTION </w:t>
      </w:r>
    </w:p>
    <w:p>
      <w:pPr>
        <w:pStyle w:val="TextBody"/>
        <w:bidi w:val="0"/>
        <w:spacing w:before="240" w:after="0"/>
        <w:jc w:val="left"/>
        <w:rPr>
          <w:rFonts w:ascii="Times New Roman" w:hAnsi="Times New Roman"/>
          <w:sz w:val="20"/>
        </w:rPr>
      </w:pPr>
      <w:r>
        <w:rPr>
          <w:rFonts w:ascii="Times New Roman" w:hAnsi="Times New Roman"/>
          <w:sz w:val="20"/>
        </w:rPr>
        <w:t>4.1 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4.1.1 The Company agrees to indemnify, to the extent permitted by law, each Holder of Registrable Securities, its officers, directors, agents and each Person who controls such Holder (within the meaning of the Securities Act) against all losses, claims, damages, liabilities and reasonable and documented out-of-pocket expenses (including, without limitation, reasonable outside attorneys’ fees)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resulting from any untrue or alleged untrue statement of material fact contained in or incorporated by reference in any Registration Statement, Prospectus or preliminary Prospectus or any amendment thereof or supplement thereto filed pursuant to this Agreement or any omission or alleged omission of a material fact required to be stated therein or necessary to make the statements therein not misleading, except insofar as the same are caused by or contained in any information or affidavit so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 </w:t>
      </w:r>
    </w:p>
    <w:p>
      <w:pPr>
        <w:pStyle w:val="TextBody"/>
        <w:bidi w:val="0"/>
        <w:spacing w:before="240" w:after="0"/>
        <w:jc w:val="left"/>
        <w:rPr>
          <w:rFonts w:ascii="Times New Roman" w:hAnsi="Times New Roman"/>
          <w:sz w:val="20"/>
        </w:rPr>
      </w:pPr>
      <w:r>
        <w:rPr>
          <w:rFonts w:ascii="Times New Roman" w:hAnsi="Times New Roman"/>
          <w:sz w:val="20"/>
        </w:rPr>
        <w:t>4.1.2 In connection with any Registration Statement filed pursuant to this Agreement in which a Holder of Registrable Securities is participating, such Holder shall furnish (or cause to be furnished) to the Company in writing such information and affidavits as the Company reasonably requests for use in connection with any such Registration Statement or Prospectus (the “</w:t>
      </w:r>
      <w:r>
        <w:rPr>
          <w:rFonts w:ascii="Times New Roman" w:hAnsi="Times New Roman"/>
          <w:b/>
          <w:i/>
          <w:sz w:val="20"/>
        </w:rPr>
        <w:t>Holder Information</w:t>
      </w:r>
      <w:r>
        <w:rPr>
          <w:rFonts w:ascii="Times New Roman" w:hAnsi="Times New Roman"/>
          <w:sz w:val="20"/>
        </w:rPr>
        <w:t xml:space="preserve">”) and, to the extent permitted by law, shall indemnify the Company, its directors, officers and agents and each Person who controls the Company (within the meaning of the Securities Act) against all losses, claims, damages, liabilities and reasonable and documented out-of-pocket expenses (including, without limitation, reasonable outside attorneys’ fees) resulting from any untrue or alleged untrue statement of material fact contained in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is contained in (or not contained in, in the case of an omission) any information or affidavit so furnished in writing by such Holder expressly for use therein;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or entity who controls such Underwriters (within the meaning of the Securities Act) to the same extent as provided in the foregoing with respect to indemnification of the Company. </w:t>
      </w:r>
    </w:p>
    <w:p>
      <w:pPr>
        <w:pStyle w:val="TextBody"/>
        <w:bidi w:val="0"/>
        <w:spacing w:before="240" w:after="0"/>
        <w:jc w:val="left"/>
        <w:rPr>
          <w:rFonts w:ascii="Times New Roman" w:hAnsi="Times New Roman"/>
          <w:sz w:val="20"/>
        </w:rPr>
      </w:pPr>
      <w:r>
        <w:rPr>
          <w:rFonts w:ascii="Times New Roman" w:hAnsi="Times New Roman"/>
          <w:sz w:val="20"/>
        </w:rPr>
        <w:t>4.1.3 Any Person entitled to indemnification herein shall (i) give prompt written notice to the indemnifying party of any claim with respect to which it seeks indemnification (</w:t>
      </w:r>
      <w:r>
        <w:rPr>
          <w:rFonts w:ascii="Times New Roman" w:hAnsi="Times New Roman"/>
          <w:i/>
          <w:sz w:val="20"/>
        </w:rPr>
        <w:t>provided</w:t>
      </w:r>
      <w:r>
        <w:rPr>
          <w:rFonts w:ascii="Times New Roman" w:hAnsi="Times New Roman"/>
          <w:sz w:val="20"/>
        </w:rPr>
        <w:t xml:space="preserve">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(plus one local counsel if necessary in the reasonable judgment of the indemnified party)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4.1.5 If the indemnification provided under </w:t>
      </w:r>
      <w:r>
        <w:rPr>
          <w:rFonts w:ascii="Times New Roman" w:hAnsi="Times New Roman"/>
          <w:sz w:val="20"/>
          <w:u w:val="single"/>
        </w:rPr>
        <w:t>Section 4.1</w:t>
      </w:r>
      <w:r>
        <w:rPr>
          <w:rFonts w:ascii="Times New Roman" w:hAnsi="Times New Roman"/>
          <w:sz w:val="20"/>
        </w:rPr>
        <w:t xml:space="preserve"> from the indemnifying party is unavailable or insufficient to hold harmless an indemnified party in respect of any losses, claims, damages, liabilities and out-of-pocket expenses referred to herein, then the indemnifying party, in lieu of indemnifying the indemnified party, shall contribute to the amount paid or payable by the indemnified party as a result of such losses, claims, damages, liabilities and out-of-pocket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w:t>
      </w:r>
      <w:r>
        <w:rPr>
          <w:rFonts w:ascii="Times New Roman" w:hAnsi="Times New Roman"/>
          <w:i/>
          <w:sz w:val="20"/>
        </w:rPr>
        <w:t>provided, however</w:t>
      </w:r>
      <w:r>
        <w:rPr>
          <w:rFonts w:ascii="Times New Roman" w:hAnsi="Times New Roman"/>
          <w:sz w:val="20"/>
        </w:rPr>
        <w:t xml:space="preserve">, that the liability of any Holder under this </w:t>
      </w:r>
      <w:r>
        <w:rPr>
          <w:rFonts w:ascii="Times New Roman" w:hAnsi="Times New Roman"/>
          <w:sz w:val="20"/>
          <w:u w:val="single"/>
        </w:rPr>
        <w:t>Section 4.1.5</w:t>
      </w:r>
      <w:r>
        <w:rPr>
          <w:rFonts w:ascii="Times New Roman" w:hAnsi="Times New Roman"/>
          <w:sz w:val="20"/>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hAnsi="Times New Roman"/>
          <w:sz w:val="20"/>
          <w:u w:val="single"/>
        </w:rPr>
        <w:t>Sections 4.1.1</w:t>
      </w:r>
      <w:r>
        <w:rPr>
          <w:rFonts w:ascii="Times New Roman" w:hAnsi="Times New Roman"/>
          <w:sz w:val="20"/>
        </w:rPr>
        <w:t xml:space="preserve">, </w:t>
      </w:r>
      <w:r>
        <w:rPr>
          <w:rFonts w:ascii="Times New Roman" w:hAnsi="Times New Roman"/>
          <w:sz w:val="20"/>
          <w:u w:val="single"/>
        </w:rPr>
        <w:t>4.1.2</w:t>
      </w:r>
      <w:r>
        <w:rPr>
          <w:rFonts w:ascii="Times New Roman" w:hAnsi="Times New Roman"/>
          <w:sz w:val="20"/>
        </w:rPr>
        <w:t xml:space="preserve"> and </w:t>
      </w:r>
      <w:r>
        <w:rPr>
          <w:rFonts w:ascii="Times New Roman" w:hAnsi="Times New Roman"/>
          <w:sz w:val="20"/>
          <w:u w:val="single"/>
        </w:rPr>
        <w:t>4.1.3</w:t>
      </w:r>
      <w:r>
        <w:rPr>
          <w:rFonts w:ascii="Times New Roman" w:hAnsi="Times New Roman"/>
          <w:sz w:val="20"/>
        </w:rPr>
        <w:t xml:space="preserve">, any legal or other fees, charges or out-of-pocket expenses reasonably incurred by such party in connection with any investigation or proceeding. The parties hereto agree that it would not be just and equitable if contribution pursuant to this </w:t>
      </w:r>
      <w:r>
        <w:rPr>
          <w:rFonts w:ascii="Times New Roman" w:hAnsi="Times New Roman"/>
          <w:sz w:val="20"/>
          <w:u w:val="single"/>
        </w:rPr>
        <w:t>Section 4.1.5</w:t>
      </w:r>
      <w:r>
        <w:rPr>
          <w:rFonts w:ascii="Times New Roman" w:hAnsi="Times New Roman"/>
          <w:sz w:val="20"/>
        </w:rPr>
        <w:t xml:space="preserve"> were determined by </w:t>
      </w:r>
      <w:r>
        <w:rPr>
          <w:rFonts w:ascii="Times New Roman" w:hAnsi="Times New Roman"/>
          <w:i/>
          <w:sz w:val="20"/>
        </w:rPr>
        <w:t>pro rata</w:t>
      </w:r>
      <w:r>
        <w:rPr>
          <w:rFonts w:ascii="Times New Roman" w:hAnsi="Times New Roman"/>
          <w:sz w:val="20"/>
        </w:rPr>
        <w:t xml:space="preserve"> allocation or by any other method of allocation, which does not take account of the equitable considerations referred to in this </w:t>
      </w:r>
      <w:r>
        <w:rPr>
          <w:rFonts w:ascii="Times New Roman" w:hAnsi="Times New Roman"/>
          <w:sz w:val="20"/>
          <w:u w:val="single"/>
        </w:rPr>
        <w:t>Section 4.1.5</w:t>
      </w:r>
      <w:r>
        <w:rPr>
          <w:rFonts w:ascii="Times New Roman" w:hAnsi="Times New Roman"/>
          <w:sz w:val="20"/>
        </w:rPr>
        <w:t xml:space="preserve">. No Person guilty of fraudulent misrepresentation (within the meaning of Section 11(f) of the Securities Act) shall be entitled to contribution pursuant to this </w:t>
      </w:r>
      <w:r>
        <w:rPr>
          <w:rFonts w:ascii="Times New Roman" w:hAnsi="Times New Roman"/>
          <w:sz w:val="20"/>
          <w:u w:val="single"/>
        </w:rPr>
        <w:t>Section 4.1.5</w:t>
      </w:r>
      <w:r>
        <w:rPr>
          <w:rFonts w:ascii="Times New Roman" w:hAnsi="Times New Roman"/>
          <w:sz w:val="20"/>
        </w:rPr>
        <w:t xml:space="preserve">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4.2 </w:t>
      </w:r>
      <w:r>
        <w:rPr>
          <w:rFonts w:ascii="Times New Roman" w:hAnsi="Times New Roman"/>
          <w:sz w:val="20"/>
          <w:u w:val="single"/>
        </w:rPr>
        <w:t>Waiver of Medallion Guaranty</w:t>
      </w:r>
      <w:r>
        <w:rPr>
          <w:rFonts w:ascii="Times New Roman" w:hAnsi="Times New Roman"/>
          <w:sz w:val="20"/>
        </w:rPr>
        <w:t xml:space="preserve">. The Company agrees to use commercially reasonable efforts to enter into that certain indemnification agreement, substantially in the form attached as </w:t>
      </w:r>
      <w:r>
        <w:rPr>
          <w:rFonts w:ascii="Times New Roman" w:hAnsi="Times New Roman"/>
          <w:sz w:val="20"/>
          <w:u w:val="single"/>
        </w:rPr>
        <w:t>Exhibit B</w:t>
      </w:r>
      <w:r>
        <w:rPr>
          <w:rFonts w:ascii="Times New Roman" w:hAnsi="Times New Roman"/>
          <w:sz w:val="20"/>
        </w:rPr>
        <w:t xml:space="preserve"> to this Agreement, in favor of Continental Stock Transfer &amp; Trust Company (or any successor transfer agent or warrant agent of the Company) in connection with the waiver of any requirement to provide a medallion guarantee in connection with any Transfer of any shares of Common Stock or other equity securities of the Company by any Sponsor Holder, PIPE Holder, or any of their Permitted Transferees; provided that, in each case, as a prerequisite to the Company’s entry into such indemnification agreement, such Sponsor Holder or Permitted Transferee enters into an indemnification agreement in favor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5.1 </w:t>
      </w:r>
      <w:r>
        <w:rPr>
          <w:rFonts w:ascii="Times New Roman" w:hAnsi="Times New Roman"/>
          <w:sz w:val="20"/>
          <w:u w:val="single"/>
        </w:rPr>
        <w:t>Notices</w:t>
      </w:r>
      <w:r>
        <w:rPr>
          <w:rFonts w:ascii="Times New Roman" w:hAnsi="Times New Roman"/>
          <w:sz w:val="20"/>
        </w:rPr>
        <w:t xml:space="preserve">. All notices, consents, waivers and other communications hereunder shall be in writing and shall be deemed to have been duly given when delivered (i) in person, (ii) by email, with affirmative confirmation of receipt, (iii) one (1) Business Day after being sent, if sent by reputable, nationally recognized overnight courier service or (iv) three (3) Business Days after being mailed, if sent by registered or certified mail, pre-paid and return receipt requested, in each case to the applicable party at the following addresses (or at such other address for a party as shall be specified by like notice). Any notice or communication under this Agreement must be addressed, if to the Company, to: Teamshares Inc., 228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Park Ave S PMB 17552, New York, New York 10003-1502 US, Attention: Lauren Rymer, Senior Corporate Counsel, Email: lauren@teamshares.com, with a copy (which shall not constitute notice) to Latham &amp; Watkins LLP, 811 Main Street, Suite 3700, Attention: Ryan Maierson and Nick Dhesi, Email: ryan.maierson@lw.com and ramnik.dhesi@lw.com; and, if to any Holder, at such Holder’s address or contact information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5.2 </w:t>
      </w:r>
      <w:r>
        <w:rPr>
          <w:rFonts w:ascii="Times New Roman" w:hAnsi="Times New Roman"/>
          <w:sz w:val="20"/>
          <w:u w:val="single"/>
        </w:rPr>
        <w:t>Assignment; No Third-Party Beneficiaries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5.2.1 This Agreement and the rights, duties and obligations of the Company hereunder may not be assigned or delegated by the Company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5.2.2 This Agreement and the rights, duties and obligations of the Holders hereunder may not be assigned or delegated by the Holders in whole or in part; </w:t>
      </w:r>
      <w:r>
        <w:rPr>
          <w:rFonts w:ascii="Times New Roman" w:hAnsi="Times New Roman"/>
          <w:i/>
          <w:sz w:val="20"/>
        </w:rPr>
        <w:t>provided, however</w:t>
      </w:r>
      <w:r>
        <w:rPr>
          <w:rFonts w:ascii="Times New Roman" w:hAnsi="Times New Roman"/>
          <w:sz w:val="20"/>
        </w:rPr>
        <w:t xml:space="preserve">, that, subject to </w:t>
      </w:r>
      <w:r>
        <w:rPr>
          <w:rFonts w:ascii="Times New Roman" w:hAnsi="Times New Roman"/>
          <w:sz w:val="20"/>
          <w:u w:val="single"/>
        </w:rPr>
        <w:t>Section 5.2.5</w:t>
      </w:r>
      <w:r>
        <w:rPr>
          <w:rFonts w:ascii="Times New Roman" w:hAnsi="Times New Roman"/>
          <w:sz w:val="20"/>
        </w:rPr>
        <w:t xml:space="preserve">, a Holder may assign the rights and obligations of such Holder hereunder relating to particular Registrable Securities in connection with the transfer of such Registrable Securities to a Permitted Transferee of such Holder (it being understood that no such Transfer shall reduce any rights of the Holder with respect to Registrable Securities still held by such Holder). A Permitted Transferee receiving Registrable Securities from a Sponsor Holder shall become a Sponsor Holder, a Permitted Transferee receiving Registrable Securities from a Teamshares Holder shall become an Teamshares Holder, a Permitted Transferee receiving Registrable Securities from a PIPE Holder shall become a PIPE Holder, and a Permitted Transferee receiving Registrable Securities from an Other Holder shall become an Other Holder. </w:t>
      </w:r>
    </w:p>
    <w:p>
      <w:pPr>
        <w:pStyle w:val="TextBody"/>
        <w:bidi w:val="0"/>
        <w:spacing w:before="240" w:after="0"/>
        <w:jc w:val="left"/>
        <w:rPr>
          <w:rFonts w:ascii="Times New Roman" w:hAnsi="Times New Roman"/>
          <w:sz w:val="20"/>
        </w:rPr>
      </w:pPr>
      <w:r>
        <w:rPr>
          <w:rFonts w:ascii="Times New Roman" w:hAnsi="Times New Roman"/>
          <w:sz w:val="20"/>
        </w:rPr>
        <w:t xml:space="preserve">5.2.3 This Agreement and the provisions hereof shall be binding upon and shall inure to the benefit of each of the parties and its successors and the permitted assigns of the Holders, which shall include Permitted Transferees. </w:t>
      </w:r>
    </w:p>
    <w:p>
      <w:pPr>
        <w:pStyle w:val="TextBody"/>
        <w:bidi w:val="0"/>
        <w:spacing w:before="240" w:after="0"/>
        <w:jc w:val="left"/>
        <w:rPr>
          <w:rFonts w:ascii="Times New Roman" w:hAnsi="Times New Roman"/>
          <w:sz w:val="20"/>
        </w:rPr>
      </w:pPr>
      <w:r>
        <w:rPr>
          <w:rFonts w:ascii="Times New Roman" w:hAnsi="Times New Roman"/>
          <w:sz w:val="20"/>
        </w:rPr>
        <w:t xml:space="preserve">5.2.4 This Agreement shall not confer any rights or benefits on any Persons that are not parties hereto, other than as expressly set forth in this Agreement and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5.2.5 No assignment by any party hereto of such party’s rights, duties and obligations hereunder shall be binding upon or obligate the Company unless such assignment is permitted under 5.2.2 and unless and until the Company shall have received (i) written notice of such assignment as provided in </w:t>
      </w:r>
      <w:r>
        <w:rPr>
          <w:rFonts w:ascii="Times New Roman" w:hAnsi="Times New Roman"/>
          <w:sz w:val="20"/>
          <w:u w:val="single"/>
        </w:rPr>
        <w:t>Section 5.1</w:t>
      </w:r>
      <w:r>
        <w:rPr>
          <w:rFonts w:ascii="Times New Roman" w:hAnsi="Times New Roman"/>
          <w:sz w:val="20"/>
        </w:rPr>
        <w:t xml:space="preserve">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hAnsi="Times New Roman"/>
          <w:sz w:val="20"/>
          <w:u w:val="single"/>
        </w:rPr>
        <w:t>Section 5.2</w:t>
      </w:r>
      <w:r>
        <w:rPr>
          <w:rFonts w:ascii="Times New Roman" w:hAnsi="Times New Roman"/>
          <w:sz w:val="20"/>
        </w:rPr>
        <w:t xml:space="preserve"> shall be null and void. </w:t>
      </w:r>
    </w:p>
    <w:p>
      <w:pPr>
        <w:pStyle w:val="TextBody"/>
        <w:bidi w:val="0"/>
        <w:spacing w:before="240" w:after="0"/>
        <w:jc w:val="left"/>
        <w:rPr>
          <w:rFonts w:ascii="Times New Roman" w:hAnsi="Times New Roman"/>
          <w:sz w:val="20"/>
        </w:rPr>
      </w:pPr>
      <w:r>
        <w:rPr>
          <w:rFonts w:ascii="Times New Roman" w:hAnsi="Times New Roman"/>
          <w:sz w:val="20"/>
        </w:rPr>
        <w:t>5.3 </w:t>
      </w:r>
      <w:r>
        <w:rPr>
          <w:rFonts w:ascii="Times New Roman" w:hAnsi="Times New Roman"/>
          <w:sz w:val="20"/>
          <w:u w:val="single"/>
        </w:rPr>
        <w:t>Counterparts</w:t>
      </w:r>
      <w:r>
        <w:rPr>
          <w:rFonts w:ascii="Times New Roman" w:hAnsi="Times New Roman"/>
          <w:sz w:val="20"/>
        </w:rPr>
        <w:t xml:space="preserve">. This Agreement may be executed and delivered (including by e-mail) in one or more counterparts, and by the different parties hereto in separate counterparts, each of which when executed shall be deemed to be an original but all of which taken together shall constitute one and the same agreement. </w:t>
      </w:r>
    </w:p>
    <w:p>
      <w:pPr>
        <w:pStyle w:val="TextBody"/>
        <w:bidi w:val="0"/>
        <w:spacing w:before="240" w:after="0"/>
        <w:jc w:val="left"/>
        <w:rPr>
          <w:rFonts w:ascii="Times New Roman" w:hAnsi="Times New Roman"/>
          <w:sz w:val="20"/>
        </w:rPr>
      </w:pPr>
      <w:r>
        <w:rPr>
          <w:rFonts w:ascii="Times New Roman" w:hAnsi="Times New Roman"/>
          <w:sz w:val="20"/>
        </w:rPr>
        <w:t>5.4 </w:t>
      </w:r>
      <w:r>
        <w:rPr>
          <w:rFonts w:ascii="Times New Roman" w:hAnsi="Times New Roman"/>
          <w:sz w:val="20"/>
          <w:u w:val="single"/>
        </w:rPr>
        <w:t>Governing Law</w:t>
      </w:r>
      <w:r>
        <w:rPr>
          <w:rFonts w:ascii="Times New Roman" w:hAnsi="Times New Roman"/>
          <w:sz w:val="20"/>
        </w:rPr>
        <w:t xml:space="preserve">.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5.5 </w:t>
      </w:r>
      <w:r>
        <w:rPr>
          <w:rFonts w:ascii="Times New Roman" w:hAnsi="Times New Roman"/>
          <w:sz w:val="20"/>
          <w:u w:val="single"/>
        </w:rPr>
        <w:t>Jurisdiction</w:t>
      </w:r>
      <w:r>
        <w:rPr>
          <w:rFonts w:ascii="Times New Roman" w:hAnsi="Times New Roman"/>
          <w:sz w:val="20"/>
        </w:rPr>
        <w:t xml:space="preserve">. Any Legal Proceeding based upon, arising out of or related to this Agreement or the transactions contemplated hereby must be brought in the Court of Chancery of the State of Delaware (or, to the extent such court does not have jurisdiction, in the United States District Court for the District of Delaware and to the extent such court does not have subject matter jurisdiction, the Superior Court of the State of Delaware), and each of the parties irrevocably (i) submits to the exclusive jurisdiction of each such court in any such Legal Proceeding, (ii) waives any objection it may now or hereafter have to personal jurisdiction, venue or to convenience of forum, (iii) agrees that all claims in respect of the Legal Proceeding shall be heard and determined only in any such court, and (iv) agrees not to bring any Legal Proceeding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Legal Proceeding, suit or proceeding brought pursuant to this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5.6 </w:t>
      </w:r>
      <w:r>
        <w:rPr>
          <w:rFonts w:ascii="Times New Roman" w:hAnsi="Times New Roman"/>
          <w:sz w:val="20"/>
          <w:u w:val="single"/>
        </w:rPr>
        <w:t>Waiver of Jury Trial</w:t>
      </w:r>
      <w:r>
        <w:rPr>
          <w:rFonts w:ascii="Times New Roman" w:hAnsi="Times New Roman"/>
          <w:sz w:val="20"/>
        </w:rPr>
        <w:t xml:space="preserve">. EACH PARTY ACKNOWLEDGES AND AGREES THAT ANY CONTROVERSY WHICH MAY ARISE UNDER THIS AGREEMENT AND THE TRANSACTIONS CONTEMPLATED HEREBY IS LIKELY TO INVOLVE COMPLICATED AND DIFFICULT ISSUES, AND THEREFORE EACH SUCH PARTY HEREBY IRREVOCABLY, UNCONDITIONALLY AND VOLUNTARILY WAIVES ANY RIGHT SUCH PARTY MAY HAVE TO A TRIAL BY JURY IN RESPECT OF ANY ACTION, SUIT OR PROCEEDING DIRECTLY OR INDIRECTLY ARISING OUT OF OR RELATING TO THIS AGREEMENT OR ANY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5.7 </w:t>
      </w:r>
      <w:r>
        <w:rPr>
          <w:rFonts w:ascii="Times New Roman" w:hAnsi="Times New Roman"/>
          <w:sz w:val="20"/>
          <w:u w:val="single"/>
        </w:rPr>
        <w:t>Amendments and Modifications</w:t>
      </w:r>
      <w:r>
        <w:rPr>
          <w:rFonts w:ascii="Times New Roman" w:hAnsi="Times New Roman"/>
          <w:sz w:val="20"/>
        </w:rPr>
        <w:t xml:space="preserve">. Upon the written consent of the Company and the Holders of at least a majority in interest of the aggregate Registrable Securities at the time in question, compliance with any of the provisions, covenants and conditions set forth in this Agreement may be waived, or any of such provisions, covenants or conditions may be amended or modified;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any amendment hereto or waiver hereof that adversely effects the Sponsor Holders shall also require the written consent of the Sponsor Majority Holders so long as the Sponsor Holders and their respective affiliates hold, in the aggregate, at least one percent (1%) of the outstanding shares of Common Stock of the Company;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 </w:t>
      </w:r>
    </w:p>
    <w:p>
      <w:pPr>
        <w:pStyle w:val="TextBody"/>
        <w:bidi w:val="0"/>
        <w:spacing w:before="240" w:after="0"/>
        <w:jc w:val="left"/>
        <w:rPr>
          <w:rFonts w:ascii="Times New Roman" w:hAnsi="Times New Roman"/>
          <w:sz w:val="20"/>
        </w:rPr>
      </w:pPr>
      <w:r>
        <w:rPr>
          <w:rFonts w:ascii="Times New Roman" w:hAnsi="Times New Roman"/>
          <w:sz w:val="20"/>
        </w:rPr>
        <w:t>5.8 </w:t>
      </w:r>
      <w:r>
        <w:rPr>
          <w:rFonts w:ascii="Times New Roman" w:hAnsi="Times New Roman"/>
          <w:sz w:val="20"/>
          <w:u w:val="single"/>
        </w:rPr>
        <w:t>Other Registration Rights</w:t>
      </w:r>
      <w:r>
        <w:rPr>
          <w:rFonts w:ascii="Times New Roman" w:hAnsi="Times New Roman"/>
          <w:sz w:val="20"/>
        </w:rPr>
        <w:t>. Other than as provided in the Warrant Agreement, dated as of April 24, 2025, between the Company and Continental Stock Transfer &amp; Trust Company, the Company represents and warrants that, as of the date hereof, no Person, other than a Holder of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For so long as the Sponsor Holders and their respective Affiliates collectively hold at least five percent (5%) of the outstanding shares of Common Stock of the Company, the Company will not grant registration rights that are senior to, or materially more favorable than, the rights granted to the Holders under this Agreement in a manner that is materially adverse to the Holders (“</w:t>
      </w:r>
      <w:r>
        <w:rPr>
          <w:rFonts w:ascii="Times New Roman" w:hAnsi="Times New Roman"/>
          <w:b/>
          <w:i/>
          <w:sz w:val="20"/>
        </w:rPr>
        <w:t>Competing Registration Rights</w:t>
      </w:r>
      <w:r>
        <w:rPr>
          <w:rFonts w:ascii="Times New Roman" w:hAnsi="Times New Roman"/>
          <w:sz w:val="20"/>
        </w:rPr>
        <w:t xml:space="preserve">”) with respect to (i) priority in any cutback in an Underwritten Offering or (ii) the number of demand registrations or underwritten shelf takedowns, in each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case without the prior written consent of the Sponsor Majority Holders (not to be unreasonably withheld, delayed or conditioned); provided that the foregoing shall not restrict the Company from (A) granting pari passu registration rights (including pro rata cutbacks), (B) granting customary rights in connection with bona fide financing transactions or employee and director equity compensation plans, or (C) entering into registration rights that are not materially adverse to the Holders. In the event the Company grants any Competing Registration Rights, the Company may, in lieu of obtaining such consent, elect to offer the Holders substantially equivalent terms with respect to the matters described in clauses (i) and (ii) above. The parties acknowledge that this Agreement is not intended to supersede any existing registration rights to which the Company is a party as of the date hereof, except in the case of an irreconcilable conflict, in which case the terms of this Agreement shall prevail as between the parties hereto. </w:t>
      </w:r>
    </w:p>
    <w:p>
      <w:pPr>
        <w:pStyle w:val="TextBody"/>
        <w:bidi w:val="0"/>
        <w:spacing w:before="240" w:after="0"/>
        <w:jc w:val="left"/>
        <w:rPr>
          <w:rFonts w:ascii="Times New Roman" w:hAnsi="Times New Roman"/>
          <w:sz w:val="20"/>
        </w:rPr>
      </w:pPr>
      <w:r>
        <w:rPr>
          <w:rFonts w:ascii="Times New Roman" w:hAnsi="Times New Roman"/>
          <w:sz w:val="20"/>
        </w:rPr>
        <w:t>5.9 </w:t>
      </w:r>
      <w:r>
        <w:rPr>
          <w:rFonts w:ascii="Times New Roman" w:hAnsi="Times New Roman"/>
          <w:sz w:val="20"/>
          <w:u w:val="single"/>
        </w:rPr>
        <w:t>Term</w:t>
      </w:r>
      <w:r>
        <w:rPr>
          <w:rFonts w:ascii="Times New Roman" w:hAnsi="Times New Roman"/>
          <w:sz w:val="20"/>
        </w:rPr>
        <w:t xml:space="preserve">. This Agreement shall terminate upon the earlier of (i) the tenth anniversary of the date of this Agreement and (ii) with respect to any Holder, the date that such Holder no longer holds any Registrable Securities. The provisions of </w:t>
      </w:r>
      <w:r>
        <w:rPr>
          <w:rFonts w:ascii="Times New Roman" w:hAnsi="Times New Roman"/>
          <w:sz w:val="20"/>
          <w:u w:val="single"/>
        </w:rPr>
        <w:t>Article IV</w:t>
      </w:r>
      <w:r>
        <w:rPr>
          <w:rFonts w:ascii="Times New Roman" w:hAnsi="Times New Roman"/>
          <w:sz w:val="20"/>
        </w:rPr>
        <w:t xml:space="preserve"> shall survive any termination. </w:t>
      </w:r>
    </w:p>
    <w:p>
      <w:pPr>
        <w:pStyle w:val="TextBody"/>
        <w:bidi w:val="0"/>
        <w:spacing w:before="240" w:after="0"/>
        <w:jc w:val="left"/>
        <w:rPr>
          <w:rFonts w:ascii="Times New Roman" w:hAnsi="Times New Roman"/>
          <w:sz w:val="20"/>
        </w:rPr>
      </w:pPr>
      <w:r>
        <w:rPr>
          <w:rFonts w:ascii="Times New Roman" w:hAnsi="Times New Roman"/>
          <w:sz w:val="20"/>
        </w:rPr>
        <w:t>5.10 </w:t>
      </w:r>
      <w:r>
        <w:rPr>
          <w:rFonts w:ascii="Times New Roman" w:hAnsi="Times New Roman"/>
          <w:sz w:val="20"/>
          <w:u w:val="single"/>
        </w:rPr>
        <w:t>Holder Information</w:t>
      </w:r>
      <w:r>
        <w:rPr>
          <w:rFonts w:ascii="Times New Roman" w:hAnsi="Times New Roman"/>
          <w:sz w:val="20"/>
        </w:rPr>
        <w:t xml:space="preserve">. Each Holder agrees, if requested in writing, to represent to the Company its legal name and the total number of Registrable Securities held by such Holder in order for the Company to make determinations hereunder. </w:t>
      </w:r>
    </w:p>
    <w:p>
      <w:pPr>
        <w:pStyle w:val="TextBody"/>
        <w:bidi w:val="0"/>
        <w:spacing w:before="240" w:after="0"/>
        <w:jc w:val="left"/>
        <w:rPr>
          <w:rFonts w:ascii="Times New Roman" w:hAnsi="Times New Roman"/>
          <w:sz w:val="20"/>
        </w:rPr>
      </w:pPr>
      <w:r>
        <w:rPr>
          <w:rFonts w:ascii="Times New Roman" w:hAnsi="Times New Roman"/>
          <w:sz w:val="20"/>
        </w:rPr>
        <w:t>5.11 </w:t>
      </w:r>
      <w:r>
        <w:rPr>
          <w:rFonts w:ascii="Times New Roman" w:hAnsi="Times New Roman"/>
          <w:sz w:val="20"/>
          <w:u w:val="single"/>
        </w:rPr>
        <w:t>Additional Holders; Joinder</w:t>
      </w:r>
      <w:r>
        <w:rPr>
          <w:rFonts w:ascii="Times New Roman" w:hAnsi="Times New Roman"/>
          <w:sz w:val="20"/>
        </w:rPr>
        <w:t xml:space="preserve">. In addition to Persons who may become Holders pursuant to </w:t>
      </w:r>
      <w:r>
        <w:rPr>
          <w:rFonts w:ascii="Times New Roman" w:hAnsi="Times New Roman"/>
          <w:sz w:val="20"/>
          <w:u w:val="single"/>
        </w:rPr>
        <w:t>Section 5.2</w:t>
      </w:r>
      <w:r>
        <w:rPr>
          <w:rFonts w:ascii="Times New Roman" w:hAnsi="Times New Roman"/>
          <w:sz w:val="20"/>
        </w:rPr>
        <w:t>, subject to the prior written consent of at least a majority in interest of the aggregate Registrable Securities at the time in question, the Company may make any Person who acquires Common Stock or rights to acquire Common Stock after the date hereof a party to this Agreement (each such Person, an “</w:t>
      </w:r>
      <w:r>
        <w:rPr>
          <w:rFonts w:ascii="Times New Roman" w:hAnsi="Times New Roman"/>
          <w:b/>
          <w:i/>
          <w:sz w:val="20"/>
        </w:rPr>
        <w:t>Additional Holder</w:t>
      </w:r>
      <w:r>
        <w:rPr>
          <w:rFonts w:ascii="Times New Roman" w:hAnsi="Times New Roman"/>
          <w:sz w:val="20"/>
        </w:rPr>
        <w:t xml:space="preserve">”) by obtaining an executed joinder to this Agreement from such Additional Holder in the form of </w:t>
      </w:r>
      <w:r>
        <w:rPr>
          <w:rFonts w:ascii="Times New Roman" w:hAnsi="Times New Roman"/>
          <w:sz w:val="20"/>
          <w:u w:val="single"/>
        </w:rPr>
        <w:t>Exhibit A</w:t>
      </w:r>
      <w:r>
        <w:rPr>
          <w:rFonts w:ascii="Times New Roman" w:hAnsi="Times New Roman"/>
          <w:sz w:val="20"/>
        </w:rPr>
        <w:t xml:space="preserve"> attached hereto (a “</w:t>
      </w:r>
      <w:r>
        <w:rPr>
          <w:rFonts w:ascii="Times New Roman" w:hAnsi="Times New Roman"/>
          <w:b/>
          <w:i/>
          <w:sz w:val="20"/>
        </w:rPr>
        <w:t>Joinder</w:t>
      </w:r>
      <w:r>
        <w:rPr>
          <w:rFonts w:ascii="Times New Roman" w:hAnsi="Times New Roman"/>
          <w:sz w:val="20"/>
        </w:rPr>
        <w:t>”). Such Joinder shall specify the rights and obligations of the applicable Additional Holder under this Agreement. Upon the execution and delivery and subject to the terms of a Joinder by such Additional Holder, the Common Stock of the Company then owned, or underlying any rights then owned, by such Additional Holder (the “</w:t>
      </w:r>
      <w:r>
        <w:rPr>
          <w:rFonts w:ascii="Times New Roman" w:hAnsi="Times New Roman"/>
          <w:b/>
          <w:i/>
          <w:sz w:val="20"/>
        </w:rPr>
        <w:t>Additional Holder Common Stock</w:t>
      </w:r>
      <w:r>
        <w:rPr>
          <w:rFonts w:ascii="Times New Roman" w:hAnsi="Times New Roman"/>
          <w:sz w:val="20"/>
        </w:rPr>
        <w:t xml:space="preserve">”) shall be Registrable Securities to the extent provided herein and therein, and such Additional Holder shall be a Holder under this Agreement with respect to such Additional Holder Common Stock. </w:t>
      </w:r>
    </w:p>
    <w:p>
      <w:pPr>
        <w:pStyle w:val="TextBody"/>
        <w:bidi w:val="0"/>
        <w:spacing w:before="240" w:after="0"/>
        <w:jc w:val="left"/>
        <w:rPr>
          <w:rFonts w:ascii="Times New Roman" w:hAnsi="Times New Roman"/>
          <w:sz w:val="20"/>
        </w:rPr>
      </w:pPr>
      <w:r>
        <w:rPr>
          <w:rFonts w:ascii="Times New Roman" w:hAnsi="Times New Roman"/>
          <w:sz w:val="20"/>
        </w:rPr>
        <w:t>5.12 </w:t>
      </w:r>
      <w:r>
        <w:rPr>
          <w:rFonts w:ascii="Times New Roman" w:hAnsi="Times New Roman"/>
          <w:sz w:val="20"/>
          <w:u w:val="single"/>
        </w:rPr>
        <w:t>Severability</w:t>
      </w:r>
      <w:r>
        <w:rPr>
          <w:rFonts w:ascii="Times New Roman" w:hAnsi="Times New Roman"/>
          <w:sz w:val="20"/>
        </w:rPr>
        <w:t xml:space="preserve">. In case any provision in this Agreement shall be held invalid, illegal or unenforceable in a jurisdiction, such provision shall be modified or deleted, as to the jurisdiction involved, only to the extent necessary to render the same valid, legal and enforceable, and the validity, legality and enforceability of the remaining provisions hereof shall not in any way be affected or impaired thereby nor shall the validity, legality or enforceability of such provision be affected thereby in any other jurisdiction. Upon such determination that any term or other provision is invalid, illegal or incapable of being enforced, the parties will substitute for any invalid, illegal or unenforceable provision a suitable and equitable provision that carries out, so far as may be valid, legal and enforceable, the intent and purpose of such invalid, illegal or unenforceable provision. </w:t>
      </w:r>
    </w:p>
    <w:p>
      <w:pPr>
        <w:pStyle w:val="TextBody"/>
        <w:bidi w:val="0"/>
        <w:spacing w:before="240" w:after="0"/>
        <w:jc w:val="left"/>
        <w:rPr>
          <w:rFonts w:ascii="Times New Roman" w:hAnsi="Times New Roman"/>
          <w:sz w:val="20"/>
        </w:rPr>
      </w:pPr>
      <w:r>
        <w:rPr>
          <w:rFonts w:ascii="Times New Roman" w:hAnsi="Times New Roman"/>
          <w:sz w:val="20"/>
        </w:rPr>
        <w:t>5.13 </w:t>
      </w:r>
      <w:r>
        <w:rPr>
          <w:rFonts w:ascii="Times New Roman" w:hAnsi="Times New Roman"/>
          <w:sz w:val="20"/>
          <w:u w:val="single"/>
        </w:rPr>
        <w:t>Entire Agreement; Restatement</w:t>
      </w:r>
      <w:r>
        <w:rPr>
          <w:rFonts w:ascii="Times New Roman" w:hAnsi="Times New Roman"/>
          <w:sz w:val="20"/>
        </w:rPr>
        <w:t xml:space="preserve">. This Agreement and the documents or instruments referred to herein, including any exhibits and schedules attached hereto, which exhibits and schedules are incorporated herein by reference, embody the entire agreement and understanding of the parties hereto in respect of the subject matter contained herein. There are no restrictions, promises, representations, warranties, covenants or undertakings, other than those expressly set forth or referred to herein or the documents or instruments referred to herein, which collectively supersede all prior agreements and the understandings among the parties with respect to the subject matter contained herein. Upon the Closing, the Original RRA shall no longer be of any force or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5.14 </w:t>
      </w:r>
      <w:r>
        <w:rPr>
          <w:rFonts w:ascii="Times New Roman" w:hAnsi="Times New Roman"/>
          <w:sz w:val="20"/>
          <w:u w:val="single"/>
        </w:rPr>
        <w:t>Adjustments</w:t>
      </w:r>
      <w:r>
        <w:rPr>
          <w:rFonts w:ascii="Times New Roman" w:hAnsi="Times New Roman"/>
          <w:sz w:val="20"/>
        </w:rPr>
        <w:t xml:space="preserve">. If, and as often as, there are any changes in the Registrable Securities by way of stock split, stock dividend, combination, reclassification, recapitalization, merger, consolidation, spin-off, reorganization or similar transaction, appropriate adjustment shall be made to this Agreement so that the rights, privileges, duties and obligations hereunder shall continue with respect to the Registrable Securities as so changed.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Teamshares Inc.,</w:t>
            </w:r>
          </w:p>
        </w:tc>
      </w:tr>
      <w:tr>
        <w:trPr/>
        <w:tc>
          <w:tcPr>
            <w:tcW w:w="4082" w:type="dxa"/>
            <w:gridSpan w:val="3"/>
            <w:tcBorders/>
          </w:tcPr>
          <w:p>
            <w:pPr>
              <w:pStyle w:val="TableContents"/>
              <w:bidi w:val="0"/>
              <w:spacing w:before="0" w:after="283"/>
              <w:jc w:val="left"/>
              <w:rPr/>
            </w:pPr>
            <w:r>
              <w:rPr/>
              <w:t>a Delaware corporation</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vAlign w:val="bottom"/>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Ashby Brown</w:t>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Michael Ashby Brown</w:t>
            </w:r>
          </w:p>
        </w:tc>
      </w:tr>
      <w:tr>
        <w:trPr/>
        <w:tc>
          <w:tcPr>
            <w:tcW w:w="672"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Chief Executive Officer</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TEAMSHARES HOLDERS: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Brown</w:t>
            </w:r>
          </w:p>
        </w:tc>
      </w:tr>
      <w:tr>
        <w:trPr/>
        <w:tc>
          <w:tcPr>
            <w:tcW w:w="4082" w:type="dxa"/>
            <w:tcBorders/>
          </w:tcPr>
          <w:p>
            <w:pPr>
              <w:pStyle w:val="TableContents"/>
              <w:bidi w:val="0"/>
              <w:spacing w:before="0" w:after="283"/>
              <w:jc w:val="left"/>
              <w:rPr/>
            </w:pPr>
            <w:r>
              <w:rPr/>
              <w:t>Name: Michael Brown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Brian Gaebe</w:t>
            </w:r>
          </w:p>
        </w:tc>
      </w:tr>
      <w:tr>
        <w:trPr/>
        <w:tc>
          <w:tcPr>
            <w:tcW w:w="4082" w:type="dxa"/>
            <w:tcBorders/>
          </w:tcPr>
          <w:p>
            <w:pPr>
              <w:pStyle w:val="TableContents"/>
              <w:bidi w:val="0"/>
              <w:spacing w:before="0" w:after="283"/>
              <w:jc w:val="left"/>
              <w:rPr/>
            </w:pPr>
            <w:r>
              <w:rPr/>
              <w:t>Name: Brian Gaebe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Madhuri Kommareddi</w:t>
            </w:r>
          </w:p>
        </w:tc>
      </w:tr>
      <w:tr>
        <w:trPr/>
        <w:tc>
          <w:tcPr>
            <w:tcW w:w="4082" w:type="dxa"/>
            <w:tcBorders/>
          </w:tcPr>
          <w:p>
            <w:pPr>
              <w:pStyle w:val="TableContents"/>
              <w:bidi w:val="0"/>
              <w:spacing w:before="0" w:after="283"/>
              <w:jc w:val="left"/>
              <w:rPr/>
            </w:pPr>
            <w:r>
              <w:rPr/>
              <w:t>Name: Madhuri Kommareddi</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Alexander Eu</w:t>
            </w:r>
          </w:p>
        </w:tc>
      </w:tr>
      <w:tr>
        <w:trPr/>
        <w:tc>
          <w:tcPr>
            <w:tcW w:w="4082" w:type="dxa"/>
            <w:tcBorders/>
          </w:tcPr>
          <w:p>
            <w:pPr>
              <w:pStyle w:val="TableContents"/>
              <w:bidi w:val="0"/>
              <w:spacing w:before="0" w:after="283"/>
              <w:jc w:val="left"/>
              <w:rPr/>
            </w:pPr>
            <w:r>
              <w:rPr/>
              <w:t>Name: Alexander Eu</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Shiiba</w:t>
            </w:r>
          </w:p>
        </w:tc>
      </w:tr>
      <w:tr>
        <w:trPr/>
        <w:tc>
          <w:tcPr>
            <w:tcW w:w="4082" w:type="dxa"/>
            <w:tcBorders/>
          </w:tcPr>
          <w:p>
            <w:pPr>
              <w:pStyle w:val="TableContents"/>
              <w:bidi w:val="0"/>
              <w:spacing w:before="0" w:after="283"/>
              <w:jc w:val="left"/>
              <w:rPr/>
            </w:pPr>
            <w:r>
              <w:rPr/>
              <w:t>Name: Kevin Shiiba</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SPONSOR: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LIVE OAK SPONSOR V LLC, a Delaware limited liability company</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J. Hendrix</w:t>
            </w:r>
          </w:p>
        </w:tc>
      </w:tr>
      <w:tr>
        <w:trPr/>
        <w:tc>
          <w:tcPr>
            <w:tcW w:w="66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Richard J. Hendrix</w:t>
            </w:r>
          </w:p>
        </w:tc>
      </w:tr>
      <w:tr>
        <w:trPr/>
        <w:tc>
          <w:tcPr>
            <w:tcW w:w="66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SPONSOR HOLDERS:</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J. Hendrix</w:t>
            </w:r>
          </w:p>
        </w:tc>
      </w:tr>
      <w:tr>
        <w:trPr/>
        <w:tc>
          <w:tcPr>
            <w:tcW w:w="66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Richard J. Hendrix</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J. Fishman</w:t>
            </w:r>
          </w:p>
        </w:tc>
      </w:tr>
      <w:tr>
        <w:trPr/>
        <w:tc>
          <w:tcPr>
            <w:tcW w:w="66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Adam J. Fishman</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OTHER HOLDERS: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Josephine Phoebe Schettini</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Josephine Phoebe Schettini</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Couvelier</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Christopher Couvelier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Krista Gondar</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Krista Gondar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Einar Gondar</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Einar Gondar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Crain</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John Crain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Charles Crain</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Charles Crain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Bell</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Robert Bell</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J. DeSimone</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Thomas J. DeSimone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Mary G. DeSimone</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Mary G. DeSimone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Marks</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Richard Marks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Morrison</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Jennifer Morrison</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Jeremiah Chafkin</w:t>
            </w:r>
          </w:p>
        </w:tc>
      </w:tr>
      <w:tr>
        <w:trPr/>
        <w:tc>
          <w:tcPr>
            <w:tcW w:w="4082" w:type="dxa"/>
            <w:tcBorders/>
          </w:tcPr>
          <w:p>
            <w:pPr>
              <w:pStyle w:val="TableContents"/>
              <w:bidi w:val="0"/>
              <w:spacing w:before="0" w:after="283"/>
              <w:jc w:val="left"/>
              <w:rPr/>
            </w:pPr>
            <w:r>
              <w:rPr/>
              <w:t>Name: Jeremiah Chafkin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Celine Carlisle</w:t>
            </w:r>
          </w:p>
        </w:tc>
      </w:tr>
      <w:tr>
        <w:trPr/>
        <w:tc>
          <w:tcPr>
            <w:tcW w:w="4082" w:type="dxa"/>
            <w:tcBorders/>
          </w:tcPr>
          <w:p>
            <w:pPr>
              <w:pStyle w:val="TableContents"/>
              <w:bidi w:val="0"/>
              <w:spacing w:before="0" w:after="283"/>
              <w:jc w:val="left"/>
              <w:rPr/>
            </w:pPr>
            <w:r>
              <w:rPr/>
              <w:t>Name: Celine Carlisle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Jim Carlisle</w:t>
            </w:r>
          </w:p>
        </w:tc>
      </w:tr>
      <w:tr>
        <w:trPr/>
        <w:tc>
          <w:tcPr>
            <w:tcW w:w="4082" w:type="dxa"/>
            <w:tcBorders/>
          </w:tcPr>
          <w:p>
            <w:pPr>
              <w:pStyle w:val="TableContents"/>
              <w:bidi w:val="0"/>
              <w:spacing w:before="0" w:after="283"/>
              <w:jc w:val="left"/>
              <w:rPr/>
            </w:pPr>
            <w:r>
              <w:rPr/>
              <w:t>Name: Jim Carlisle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Camille Carlisle</w:t>
            </w:r>
          </w:p>
        </w:tc>
      </w:tr>
      <w:tr>
        <w:trPr/>
        <w:tc>
          <w:tcPr>
            <w:tcW w:w="4082" w:type="dxa"/>
            <w:tcBorders/>
          </w:tcPr>
          <w:p>
            <w:pPr>
              <w:pStyle w:val="TableContents"/>
              <w:bidi w:val="0"/>
              <w:spacing w:before="0" w:after="283"/>
              <w:jc w:val="left"/>
              <w:rPr/>
            </w:pPr>
            <w:r>
              <w:rPr/>
              <w:t>Name: Camille Carlisle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Evan Moore</w:t>
            </w:r>
          </w:p>
        </w:tc>
      </w:tr>
      <w:tr>
        <w:trPr/>
        <w:tc>
          <w:tcPr>
            <w:tcW w:w="4082" w:type="dxa"/>
            <w:tcBorders/>
          </w:tcPr>
          <w:p>
            <w:pPr>
              <w:pStyle w:val="TableContents"/>
              <w:bidi w:val="0"/>
              <w:spacing w:before="0" w:after="283"/>
              <w:jc w:val="left"/>
              <w:rPr/>
            </w:pPr>
            <w:r>
              <w:rPr/>
              <w:t>Name: Evan Moore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Standing Jr.</w:t>
            </w:r>
          </w:p>
        </w:tc>
      </w:tr>
      <w:tr>
        <w:trPr/>
        <w:tc>
          <w:tcPr>
            <w:tcW w:w="4082" w:type="dxa"/>
            <w:tcBorders/>
          </w:tcPr>
          <w:p>
            <w:pPr>
              <w:pStyle w:val="TableContents"/>
              <w:bidi w:val="0"/>
              <w:spacing w:before="0" w:after="283"/>
              <w:jc w:val="left"/>
              <w:rPr/>
            </w:pPr>
            <w:r>
              <w:rPr/>
              <w:t>Name: Michael Standing Jr.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Girish D. Chhatwani</w:t>
            </w:r>
          </w:p>
        </w:tc>
      </w:tr>
      <w:tr>
        <w:trPr/>
        <w:tc>
          <w:tcPr>
            <w:tcW w:w="4082" w:type="dxa"/>
            <w:tcBorders/>
          </w:tcPr>
          <w:p>
            <w:pPr>
              <w:pStyle w:val="TableContents"/>
              <w:bidi w:val="0"/>
              <w:spacing w:before="0" w:after="283"/>
              <w:jc w:val="left"/>
              <w:rPr/>
            </w:pPr>
            <w:r>
              <w:rPr/>
              <w:t>Name: Girish D. Chhatwani</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J. Carlson</w:t>
            </w:r>
          </w:p>
        </w:tc>
      </w:tr>
      <w:tr>
        <w:trPr/>
        <w:tc>
          <w:tcPr>
            <w:tcW w:w="4082" w:type="dxa"/>
            <w:tcBorders/>
          </w:tcPr>
          <w:p>
            <w:pPr>
              <w:pStyle w:val="TableContents"/>
              <w:bidi w:val="0"/>
              <w:spacing w:before="0" w:after="283"/>
              <w:jc w:val="left"/>
              <w:rPr/>
            </w:pPr>
            <w:r>
              <w:rPr/>
              <w:t>Name: Tim Carlson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Neil Waterman</w:t>
            </w:r>
          </w:p>
        </w:tc>
      </w:tr>
      <w:tr>
        <w:trPr/>
        <w:tc>
          <w:tcPr>
            <w:tcW w:w="4082" w:type="dxa"/>
            <w:tcBorders/>
          </w:tcPr>
          <w:p>
            <w:pPr>
              <w:pStyle w:val="TableContents"/>
              <w:bidi w:val="0"/>
              <w:spacing w:before="0" w:after="283"/>
              <w:jc w:val="left"/>
              <w:rPr/>
            </w:pPr>
            <w:r>
              <w:rPr/>
              <w:t>Name: Neil Waterman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Perkins</w:t>
            </w:r>
          </w:p>
        </w:tc>
      </w:tr>
      <w:tr>
        <w:trPr/>
        <w:tc>
          <w:tcPr>
            <w:tcW w:w="4082" w:type="dxa"/>
            <w:tcBorders/>
          </w:tcPr>
          <w:p>
            <w:pPr>
              <w:pStyle w:val="TableContents"/>
              <w:bidi w:val="0"/>
              <w:spacing w:before="0" w:after="283"/>
              <w:jc w:val="left"/>
              <w:rPr/>
            </w:pPr>
            <w:r>
              <w:rPr/>
              <w:t>Name: Jonathan Perkins</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Howard M. Shapiro</w:t>
            </w:r>
          </w:p>
        </w:tc>
      </w:tr>
      <w:tr>
        <w:trPr/>
        <w:tc>
          <w:tcPr>
            <w:tcW w:w="4082" w:type="dxa"/>
            <w:tcBorders/>
          </w:tcPr>
          <w:p>
            <w:pPr>
              <w:pStyle w:val="TableContents"/>
              <w:bidi w:val="0"/>
              <w:spacing w:before="0" w:after="283"/>
              <w:jc w:val="left"/>
              <w:rPr/>
            </w:pPr>
            <w:r>
              <w:rPr/>
              <w:t>Name: Howard M. Shapiro</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Fabrice Zosso</w:t>
            </w:r>
          </w:p>
        </w:tc>
      </w:tr>
      <w:tr>
        <w:trPr/>
        <w:tc>
          <w:tcPr>
            <w:tcW w:w="4082" w:type="dxa"/>
            <w:tcBorders/>
          </w:tcPr>
          <w:p>
            <w:pPr>
              <w:pStyle w:val="TableContents"/>
              <w:bidi w:val="0"/>
              <w:spacing w:before="0" w:after="283"/>
              <w:jc w:val="left"/>
              <w:rPr/>
            </w:pPr>
            <w:r>
              <w:rPr/>
              <w:t>Name: Fabrice Zosso</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Boris Cont</w:t>
            </w:r>
          </w:p>
        </w:tc>
      </w:tr>
      <w:tr>
        <w:trPr/>
        <w:tc>
          <w:tcPr>
            <w:tcW w:w="4082" w:type="dxa"/>
            <w:tcBorders/>
          </w:tcPr>
          <w:p>
            <w:pPr>
              <w:pStyle w:val="TableContents"/>
              <w:bidi w:val="0"/>
              <w:spacing w:before="0" w:after="283"/>
              <w:jc w:val="left"/>
              <w:rPr/>
            </w:pPr>
            <w:r>
              <w:rPr/>
              <w:t>Name: Boris Cont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Marco Steinmann</w:t>
            </w:r>
          </w:p>
        </w:tc>
      </w:tr>
      <w:tr>
        <w:trPr/>
        <w:tc>
          <w:tcPr>
            <w:tcW w:w="4082" w:type="dxa"/>
            <w:tcBorders/>
          </w:tcPr>
          <w:p>
            <w:pPr>
              <w:pStyle w:val="TableContents"/>
              <w:bidi w:val="0"/>
              <w:spacing w:before="0" w:after="283"/>
              <w:jc w:val="left"/>
              <w:rPr/>
            </w:pPr>
            <w:r>
              <w:rPr/>
              <w:t>Name: Marco Steinmann</w:t>
            </w:r>
          </w:p>
        </w:tc>
      </w:tr>
      <w:tr>
        <w:trPr/>
        <w:tc>
          <w:tcPr>
            <w:tcW w:w="4082" w:type="dxa"/>
            <w:tcBorders/>
          </w:tcPr>
          <w:p>
            <w:pPr>
              <w:pStyle w:val="TableContents"/>
              <w:bidi w:val="0"/>
              <w:spacing w:before="0" w:after="283"/>
              <w:jc w:val="left"/>
              <w:rPr/>
            </w:pPr>
            <w:r>
              <w:rPr/>
              <w:t>Title:  Director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JOINDER </w:t>
      </w:r>
    </w:p>
    <w:p>
      <w:pPr>
        <w:pStyle w:val="TextBody"/>
        <w:bidi w:val="0"/>
        <w:spacing w:before="240" w:after="0"/>
        <w:jc w:val="left"/>
        <w:rPr>
          <w:rFonts w:ascii="Times New Roman" w:hAnsi="Times New Roman"/>
          <w:sz w:val="20"/>
        </w:rPr>
      </w:pPr>
      <w:r>
        <w:rPr>
          <w:rFonts w:ascii="Times New Roman" w:hAnsi="Times New Roman"/>
          <w:sz w:val="20"/>
        </w:rPr>
        <w:t>The undersigned is executing and delivering this joinder (this “</w:t>
      </w:r>
      <w:r>
        <w:rPr>
          <w:rFonts w:ascii="Times New Roman" w:hAnsi="Times New Roman"/>
          <w:b/>
          <w:i/>
          <w:sz w:val="20"/>
        </w:rPr>
        <w:t>Joinder</w:t>
      </w:r>
      <w:r>
        <w:rPr>
          <w:rFonts w:ascii="Times New Roman" w:hAnsi="Times New Roman"/>
          <w:sz w:val="20"/>
        </w:rPr>
        <w:t>”) pursuant to the Amended and Restated Registration Rights Agreement, dated as of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 xml:space="preserve"> (as the same may hereafter be amended, the “</w:t>
      </w:r>
      <w:r>
        <w:rPr>
          <w:rFonts w:ascii="Times New Roman" w:hAnsi="Times New Roman"/>
          <w:b/>
          <w:i/>
          <w:sz w:val="20"/>
        </w:rPr>
        <w:t>Registration Rights Agreement</w:t>
      </w:r>
      <w:r>
        <w:rPr>
          <w:rFonts w:ascii="Times New Roman" w:hAnsi="Times New Roman"/>
          <w:sz w:val="20"/>
        </w:rPr>
        <w:t>”), among Teamshares Inc., a Delaware corporation (the “</w:t>
      </w:r>
      <w:r>
        <w:rPr>
          <w:rFonts w:ascii="Times New Roman" w:hAnsi="Times New Roman"/>
          <w:b/>
          <w:i/>
          <w:sz w:val="20"/>
        </w:rPr>
        <w:t>Company</w:t>
      </w:r>
      <w:r>
        <w:rPr>
          <w:rFonts w:ascii="Times New Roman" w:hAnsi="Times New Roman"/>
          <w:sz w:val="20"/>
        </w:rPr>
        <w:t xml:space="preserve">”), and the other Persons named as parties therein. Capitalized terms used but not otherwise defined herein shall have the meanings provided in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By executing and delivering this Joinder to the Company, and upon acceptance hereof by the Company upon the execution of a counterpart hereof, the undersigned hereby agrees to become a party to, to be bound by and to comply with the Registration Rights Agreement as a Holder of Registrable Securities in the same manner as if the undersigned were an original signatory to the Registration Rights Agreement as [a Sponsor Holder / a Teamshares Holder / a PIPE Holder / an Other Holder], and the undersigned’s [shares of Common Stock] shall be included as Registrable Securities under the Registration Rights Agreement to the extent provided therein; </w:t>
      </w:r>
      <w:r>
        <w:rPr>
          <w:rFonts w:ascii="Times New Roman" w:hAnsi="Times New Roman"/>
          <w:i/>
          <w:sz w:val="20"/>
        </w:rPr>
        <w:t>provided, however</w:t>
      </w:r>
      <w:r>
        <w:rPr>
          <w:rFonts w:ascii="Times New Roman" w:hAnsi="Times New Roman"/>
          <w:sz w:val="20"/>
        </w:rPr>
        <w:t xml:space="preserve">, that the undersigned and its permitted assigns (if any) shall not have any rights as Holders, and the undersigned’s (and its transferees’) [shares of Common Stock] shall not be included as Registrable Securities, for purposes of the Excluded Sections. </w:t>
      </w:r>
    </w:p>
    <w:p>
      <w:pPr>
        <w:pStyle w:val="TextBody"/>
        <w:bidi w:val="0"/>
        <w:spacing w:before="240" w:after="0"/>
        <w:jc w:val="left"/>
        <w:rPr>
          <w:rFonts w:ascii="Times New Roman" w:hAnsi="Times New Roman"/>
          <w:sz w:val="20"/>
        </w:rPr>
      </w:pPr>
      <w:r>
        <w:rPr>
          <w:rFonts w:ascii="Times New Roman" w:hAnsi="Times New Roman"/>
          <w:sz w:val="20"/>
        </w:rPr>
        <w:t>For purposes of this Joinder, “</w:t>
      </w:r>
      <w:r>
        <w:rPr>
          <w:rFonts w:ascii="Times New Roman" w:hAnsi="Times New Roman"/>
          <w:b/>
          <w:i/>
          <w:sz w:val="20"/>
        </w:rPr>
        <w:t>Excluded Sections</w:t>
      </w:r>
      <w:r>
        <w:rPr>
          <w:rFonts w:ascii="Times New Roman" w:hAnsi="Times New Roman"/>
          <w:sz w:val="20"/>
        </w:rPr>
        <w:t>” shall mean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undersigned has executed and delivered this Joinder as of the </w:t>
      </w:r>
      <w:r>
        <w:rPr>
          <w:rFonts w:ascii="Times New Roman" w:hAnsi="Times New Roman"/>
          <w:sz w:val="20"/>
          <w:u w:val="single"/>
        </w:rPr>
        <w:t>     </w:t>
      </w:r>
      <w:r>
        <w:rPr>
          <w:rFonts w:ascii="Times New Roman" w:hAnsi="Times New Roman"/>
          <w:sz w:val="20"/>
        </w:rPr>
        <w:t xml:space="preserve"> day of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886"/>
        <w:gridCol w:w="336"/>
        <w:gridCol w:w="1860"/>
      </w:tblGrid>
      <w:tr>
        <w:trPr/>
        <w:tc>
          <w:tcPr>
            <w:tcW w:w="1886"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Signature of Stockholder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Print Name of Stockholder</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w:t>
            </w:r>
          </w:p>
        </w:tc>
      </w:tr>
    </w:tbl>
    <w:tbl>
      <w:tblPr>
        <w:tblW w:w="2000" w:type="pct"/>
        <w:jc w:val="right"/>
        <w:tblInd w:w="0" w:type="dxa"/>
        <w:tblLayout w:type="fixed"/>
        <w:tblCellMar>
          <w:top w:w="0" w:type="dxa"/>
          <w:left w:w="0" w:type="dxa"/>
          <w:bottom w:w="0" w:type="dxa"/>
          <w:right w:w="0" w:type="dxa"/>
        </w:tblCellMar>
      </w:tblPr>
      <w:tblGrid>
        <w:gridCol w:w="852"/>
        <w:gridCol w:w="60"/>
        <w:gridCol w:w="3170"/>
      </w:tblGrid>
      <w:tr>
        <w:trPr/>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852" w:type="dxa"/>
            <w:tcBorders/>
            <w:vAlign w:val="center"/>
          </w:tcPr>
          <w:p>
            <w:pPr>
              <w:pStyle w:val="TableContents"/>
              <w:bidi w:val="0"/>
              <w:spacing w:before="0" w:after="283"/>
              <w:jc w:val="left"/>
              <w:rPr>
                <w:sz w:val="4"/>
                <w:szCs w:val="4"/>
              </w:rPr>
            </w:pPr>
            <w:r>
              <w:rPr>
                <w:sz w:val="4"/>
                <w:szCs w:val="4"/>
              </w:rPr>
            </w:r>
          </w:p>
        </w:tc>
        <w:tc>
          <w:tcPr>
            <w:tcW w:w="3230"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60" w:type="dxa"/>
            <w:tcBorders/>
            <w:vAlign w:val="bottom"/>
          </w:tcPr>
          <w:p>
            <w:pPr>
              <w:pStyle w:val="TableContents"/>
              <w:bidi w:val="0"/>
              <w:spacing w:before="0" w:after="283"/>
              <w:jc w:val="left"/>
              <w:rPr/>
            </w:pPr>
            <w:r>
              <w:rPr/>
              <w:t> </w:t>
            </w:r>
          </w:p>
        </w:tc>
        <w:tc>
          <w:tcPr>
            <w:tcW w:w="3170"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925"/>
        <w:gridCol w:w="78"/>
        <w:gridCol w:w="3079"/>
      </w:tblGrid>
      <w:tr>
        <w:trPr/>
        <w:tc>
          <w:tcPr>
            <w:tcW w:w="92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Agreed and Accepted as of</w:t>
            </w:r>
          </w:p>
        </w:tc>
      </w:tr>
      <w:tr>
        <w:trPr/>
        <w:tc>
          <w:tcPr>
            <w:tcW w:w="4082" w:type="dxa"/>
            <w:gridSpan w:val="3"/>
            <w:tcBorders/>
          </w:tcPr>
          <w:p>
            <w:pPr>
              <w:pStyle w:val="TableContents"/>
              <w:bidi w:val="0"/>
              <w:spacing w:before="0" w:after="0"/>
              <w:jc w:val="left"/>
              <w:rPr/>
            </w:pPr>
            <w:r>
              <w:rPr>
                <w:u w:val="single"/>
              </w:rPr>
              <w:t>    </w:t>
            </w:r>
            <w:r>
              <w:rPr>
                <w:rFonts w:ascii="Times New Roman" w:hAnsi="Times New Roman"/>
                <w:sz w:val="20"/>
              </w:rPr>
              <w:t>, 20</w:t>
            </w:r>
            <w:r>
              <w:rPr>
                <w:rFonts w:ascii="Times New Roman" w:hAnsi="Times New Roman"/>
                <w:sz w:val="20"/>
                <w:u w:val="single"/>
              </w:rPr>
              <w:t> </w:t>
            </w:r>
          </w:p>
        </w:tc>
      </w:tr>
      <w:tr>
        <w:trPr>
          <w:trHeight w:val="240" w:hRule="atLeast"/>
        </w:trPr>
        <w:tc>
          <w:tcPr>
            <w:tcW w:w="925" w:type="dxa"/>
            <w:tcBorders/>
            <w:vAlign w:val="center"/>
          </w:tcPr>
          <w:p>
            <w:pPr>
              <w:pStyle w:val="TableContents"/>
              <w:bidi w:val="0"/>
              <w:spacing w:before="0" w:after="283"/>
              <w:jc w:val="left"/>
              <w:rPr>
                <w:sz w:val="4"/>
                <w:szCs w:val="4"/>
              </w:rPr>
            </w:pPr>
            <w:r>
              <w:rPr>
                <w:sz w:val="4"/>
                <w:szCs w:val="4"/>
              </w:rPr>
            </w:r>
          </w:p>
        </w:tc>
        <w:tc>
          <w:tcPr>
            <w:tcW w:w="3157" w:type="dxa"/>
            <w:gridSpan w:val="2"/>
            <w:tcBorders/>
            <w:vAlign w:val="center"/>
          </w:tcPr>
          <w:p>
            <w:pPr>
              <w:pStyle w:val="TableContents"/>
              <w:bidi w:val="0"/>
              <w:spacing w:before="0" w:after="283"/>
              <w:jc w:val="left"/>
              <w:rPr>
                <w:sz w:val="4"/>
                <w:szCs w:val="4"/>
              </w:rPr>
            </w:pPr>
            <w:r>
              <w:rPr>
                <w:sz w:val="4"/>
                <w:szCs w:val="4"/>
              </w:rPr>
            </w:r>
          </w:p>
        </w:tc>
      </w:tr>
      <w:tr>
        <w:trPr/>
        <w:tc>
          <w:tcPr>
            <w:tcW w:w="925" w:type="dxa"/>
            <w:tcBorders/>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 w:type="dxa"/>
            <w:tcBorders/>
            <w:vAlign w:val="bottom"/>
          </w:tcPr>
          <w:p>
            <w:pPr>
              <w:pStyle w:val="TableContents"/>
              <w:bidi w:val="0"/>
              <w:spacing w:before="0" w:after="283"/>
              <w:jc w:val="left"/>
              <w:rPr/>
            </w:pPr>
            <w:r>
              <w:rPr/>
              <w:t> </w:t>
            </w:r>
          </w:p>
        </w:tc>
        <w:tc>
          <w:tcPr>
            <w:tcW w:w="3079" w:type="dxa"/>
            <w:tcBorders/>
          </w:tcPr>
          <w:p>
            <w:pPr>
              <w:pStyle w:val="TableContents"/>
              <w:bidi w:val="0"/>
              <w:spacing w:before="0" w:after="283"/>
              <w:jc w:val="left"/>
              <w:rPr>
                <w:sz w:val="4"/>
                <w:szCs w:val="4"/>
              </w:rPr>
            </w:pPr>
            <w:r>
              <w:rPr>
                <w:sz w:val="4"/>
                <w:szCs w:val="4"/>
              </w:rPr>
            </w:r>
          </w:p>
        </w:tc>
      </w:tr>
      <w:tr>
        <w:trPr>
          <w:trHeight w:val="240" w:hRule="atLeast"/>
        </w:trPr>
        <w:tc>
          <w:tcPr>
            <w:tcW w:w="925" w:type="dxa"/>
            <w:tcBorders/>
            <w:vAlign w:val="center"/>
          </w:tcPr>
          <w:p>
            <w:pPr>
              <w:pStyle w:val="TableContents"/>
              <w:bidi w:val="0"/>
              <w:spacing w:before="0" w:after="283"/>
              <w:jc w:val="left"/>
              <w:rPr>
                <w:sz w:val="4"/>
                <w:szCs w:val="4"/>
              </w:rPr>
            </w:pPr>
            <w:r>
              <w:rPr>
                <w:sz w:val="4"/>
                <w:szCs w:val="4"/>
              </w:rPr>
            </w:r>
          </w:p>
        </w:tc>
        <w:tc>
          <w:tcPr>
            <w:tcW w:w="3157" w:type="dxa"/>
            <w:gridSpan w:val="2"/>
            <w:tcBorders/>
            <w:vAlign w:val="center"/>
          </w:tcPr>
          <w:p>
            <w:pPr>
              <w:pStyle w:val="TableContents"/>
              <w:bidi w:val="0"/>
              <w:spacing w:before="0" w:after="283"/>
              <w:jc w:val="left"/>
              <w:rPr>
                <w:sz w:val="4"/>
                <w:szCs w:val="4"/>
              </w:rPr>
            </w:pPr>
            <w:r>
              <w:rPr>
                <w:sz w:val="4"/>
                <w:szCs w:val="4"/>
              </w:rPr>
            </w:r>
          </w:p>
        </w:tc>
      </w:tr>
      <w:tr>
        <w:trPr/>
        <w:tc>
          <w:tcPr>
            <w:tcW w:w="92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78" w:type="dxa"/>
            <w:tcBorders/>
            <w:vAlign w:val="bottom"/>
          </w:tcPr>
          <w:p>
            <w:pPr>
              <w:pStyle w:val="TableContents"/>
              <w:bidi w:val="0"/>
              <w:spacing w:before="0" w:after="283"/>
              <w:jc w:val="left"/>
              <w:rPr/>
            </w:pPr>
            <w:r>
              <w:rPr/>
              <w:t> </w:t>
            </w:r>
          </w:p>
        </w:tc>
        <w:tc>
          <w:tcPr>
            <w:tcW w:w="3079" w:type="dxa"/>
            <w:tcBorders/>
          </w:tcPr>
          <w:p>
            <w:pPr>
              <w:pStyle w:val="TableContents"/>
              <w:pBdr>
                <w:bottom w:val="single" w:sz="2" w:space="1" w:color="000000"/>
              </w:pBdr>
              <w:bidi w:val="0"/>
              <w:spacing w:before="0" w:after="20"/>
              <w:jc w:val="left"/>
              <w:rPr/>
            </w:pPr>
            <w:r>
              <w:rPr/>
              <w:t> </w:t>
            </w:r>
          </w:p>
        </w:tc>
      </w:tr>
      <w:tr>
        <w:trPr/>
        <w:tc>
          <w:tcPr>
            <w:tcW w:w="92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78" w:type="dxa"/>
            <w:tcBorders/>
            <w:vAlign w:val="bottom"/>
          </w:tcPr>
          <w:p>
            <w:pPr>
              <w:pStyle w:val="TableContents"/>
              <w:bidi w:val="0"/>
              <w:spacing w:before="0" w:after="283"/>
              <w:jc w:val="left"/>
              <w:rPr/>
            </w:pPr>
            <w:r>
              <w:rPr/>
              <w:t> </w:t>
            </w:r>
          </w:p>
        </w:tc>
        <w:tc>
          <w:tcPr>
            <w:tcW w:w="3079" w:type="dxa"/>
            <w:tcBorders/>
          </w:tcPr>
          <w:p>
            <w:pPr>
              <w:pStyle w:val="TableContents"/>
              <w:bidi w:val="0"/>
              <w:spacing w:before="0" w:after="283"/>
              <w:jc w:val="left"/>
              <w:rPr>
                <w:sz w:val="4"/>
                <w:szCs w:val="4"/>
              </w:rPr>
            </w:pPr>
            <w:r>
              <w:rPr>
                <w:sz w:val="4"/>
                <w:szCs w:val="4"/>
              </w:rPr>
            </w:r>
          </w:p>
        </w:tc>
      </w:tr>
      <w:tr>
        <w:trPr/>
        <w:tc>
          <w:tcPr>
            <w:tcW w:w="925" w:type="dxa"/>
            <w:tcBorders/>
          </w:tcPr>
          <w:p>
            <w:pPr>
              <w:pStyle w:val="TableContents"/>
              <w:bidi w:val="0"/>
              <w:spacing w:before="0" w:after="0"/>
              <w:jc w:val="left"/>
              <w:rPr>
                <w:rFonts w:ascii="Times New Roman" w:hAnsi="Times New Roman"/>
                <w:sz w:val="20"/>
              </w:rPr>
            </w:pPr>
            <w:r>
              <w:rPr>
                <w:rFonts w:ascii="Times New Roman" w:hAnsi="Times New Roman"/>
                <w:sz w:val="20"/>
              </w:rPr>
              <w:t>Its:</w:t>
            </w:r>
          </w:p>
        </w:tc>
        <w:tc>
          <w:tcPr>
            <w:tcW w:w="78" w:type="dxa"/>
            <w:tcBorders/>
            <w:vAlign w:val="bottom"/>
          </w:tcPr>
          <w:p>
            <w:pPr>
              <w:pStyle w:val="TableContents"/>
              <w:bidi w:val="0"/>
              <w:spacing w:before="0" w:after="283"/>
              <w:jc w:val="left"/>
              <w:rPr/>
            </w:pPr>
            <w:r>
              <w:rPr/>
              <w:t> </w:t>
            </w:r>
          </w:p>
        </w:tc>
        <w:tc>
          <w:tcPr>
            <w:tcW w:w="3079"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B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[ ], 20[●] </w:t>
      </w:r>
    </w:p>
    <w:p>
      <w:pPr>
        <w:pStyle w:val="TextBody"/>
        <w:bidi w:val="0"/>
        <w:spacing w:before="240" w:after="0"/>
        <w:jc w:val="left"/>
        <w:rPr>
          <w:rFonts w:ascii="Times New Roman" w:hAnsi="Times New Roman"/>
          <w:sz w:val="20"/>
        </w:rPr>
      </w:pPr>
      <w:r>
        <w:rPr>
          <w:rFonts w:ascii="Times New Roman" w:hAnsi="Times New Roman"/>
          <w:sz w:val="20"/>
        </w:rPr>
        <w:t xml:space="preserve">Continental Stock Transfer &amp; Trust Company </w:t>
      </w:r>
    </w:p>
    <w:p>
      <w:pPr>
        <w:pStyle w:val="TextBody"/>
        <w:bidi w:val="0"/>
        <w:spacing w:before="0" w:after="0"/>
        <w:jc w:val="left"/>
        <w:rPr>
          <w:rFonts w:ascii="Times New Roman" w:hAnsi="Times New Roman"/>
          <w:sz w:val="20"/>
        </w:rPr>
      </w:pPr>
      <w:r>
        <w:rPr>
          <w:rFonts w:ascii="Times New Roman" w:hAnsi="Times New Roman"/>
          <w:sz w:val="20"/>
        </w:rPr>
        <w:t xml:space="preserve">1 State Street, 30th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10004 </w:t>
      </w:r>
    </w:p>
    <w:p>
      <w:pPr>
        <w:pStyle w:val="TextBody"/>
        <w:bidi w:val="0"/>
        <w:spacing w:before="240" w:after="0"/>
        <w:jc w:val="left"/>
        <w:rPr>
          <w:rFonts w:ascii="Times New Roman" w:hAnsi="Times New Roman"/>
          <w:sz w:val="20"/>
        </w:rPr>
      </w:pPr>
      <w:r>
        <w:rPr>
          <w:rFonts w:ascii="Times New Roman" w:hAnsi="Times New Roman"/>
          <w:sz w:val="20"/>
        </w:rPr>
        <w:t xml:space="preserve">Re: Indemnification in-lieu-of Medallion Signature Guarantee </w:t>
      </w:r>
    </w:p>
    <w:p>
      <w:pPr>
        <w:pStyle w:val="TextBody"/>
        <w:bidi w:val="0"/>
        <w:spacing w:before="240" w:after="0"/>
        <w:jc w:val="left"/>
        <w:rPr>
          <w:rFonts w:ascii="Times New Roman" w:hAnsi="Times New Roman"/>
          <w:sz w:val="20"/>
        </w:rPr>
      </w:pPr>
      <w:r>
        <w:rPr>
          <w:rFonts w:ascii="Times New Roman" w:hAnsi="Times New Roman"/>
          <w:sz w:val="20"/>
        </w:rPr>
        <w:t xml:space="preserve">To whom it may concern: </w:t>
      </w:r>
    </w:p>
    <w:p>
      <w:pPr>
        <w:pStyle w:val="TextBody"/>
        <w:bidi w:val="0"/>
        <w:spacing w:before="240" w:after="0"/>
        <w:jc w:val="left"/>
        <w:rPr>
          <w:rFonts w:ascii="Times New Roman" w:hAnsi="Times New Roman"/>
          <w:sz w:val="20"/>
        </w:rPr>
      </w:pPr>
      <w:r>
        <w:rPr>
          <w:rFonts w:ascii="Times New Roman" w:hAnsi="Times New Roman"/>
          <w:sz w:val="20"/>
        </w:rPr>
        <w:t>This letter is in regards to the transfer by [Live Oak Sponsor V LLC / Name of Sponsor Holder] to [ ], of [ ] shares of Common Stock of Teamshares Inc. (formerly known as Live Oak Acquisition Corp. V) (the “</w:t>
      </w:r>
      <w:r>
        <w:rPr>
          <w:rFonts w:ascii="Times New Roman" w:hAnsi="Times New Roman"/>
          <w:sz w:val="20"/>
          <w:u w:val="single"/>
        </w:rPr>
        <w:t>Company</w:t>
      </w:r>
      <w:r>
        <w:rPr>
          <w:rFonts w:ascii="Times New Roman" w:hAnsi="Times New Roman"/>
          <w:sz w:val="20"/>
        </w:rPr>
        <w:t xml:space="preserve">”). Please be advised that the Company authorizes Continental Stock Transfer &amp; Trust Company to process the subject transfer, which includes securities that have been duly endorsed by the registered holder but do not bear a customary medallion signature guarantee. The Company agrees to indemnify Continental Stock Transfer &amp; Trust Company against all losses, damages, costs, charges and expenses that it may in any way sustain, incur, or become liable for by reason related to the above referenced transaction. </w:t>
      </w:r>
    </w:p>
    <w:p>
      <w:pPr>
        <w:pStyle w:val="TextBody"/>
        <w:bidi w:val="0"/>
        <w:spacing w:before="240" w:after="0"/>
        <w:jc w:val="left"/>
        <w:rPr>
          <w:rFonts w:ascii="Times New Roman" w:hAnsi="Times New Roman"/>
          <w:sz w:val="20"/>
        </w:rPr>
      </w:pPr>
      <w:r>
        <w:rPr>
          <w:rFonts w:ascii="Times New Roman" w:hAnsi="Times New Roman"/>
          <w:sz w:val="20"/>
        </w:rPr>
        <w:t xml:space="preserve">I, [●], a duly authorized officer of the Company, have the authority to execute this indemnification on behalf of the Company.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72"/>
        <w:gridCol w:w="62"/>
        <w:gridCol w:w="3248"/>
      </w:tblGrid>
      <w:tr>
        <w:trPr/>
        <w:tc>
          <w:tcPr>
            <w:tcW w:w="772"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Very truly yours,</w:t>
            </w:r>
          </w:p>
        </w:tc>
      </w:tr>
      <w:tr>
        <w:trPr>
          <w:trHeight w:val="240" w:hRule="atLeast"/>
        </w:trPr>
        <w:tc>
          <w:tcPr>
            <w:tcW w:w="772" w:type="dxa"/>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772" w:type="dxa"/>
            <w:tcBorders/>
            <w:vAlign w:val="bottom"/>
          </w:tcPr>
          <w:p>
            <w:pPr>
              <w:pStyle w:val="TableContents"/>
              <w:bidi w:val="0"/>
              <w:spacing w:before="0" w:after="283"/>
              <w:jc w:val="left"/>
              <w:rPr/>
            </w:pPr>
            <w:r>
              <w:rPr/>
              <w:t>[●]</w:t>
            </w:r>
          </w:p>
        </w:tc>
        <w:tc>
          <w:tcPr>
            <w:tcW w:w="62" w:type="dxa"/>
            <w:tcBorders/>
            <w:vAlign w:val="bottom"/>
          </w:tcPr>
          <w:p>
            <w:pPr>
              <w:pStyle w:val="TableContents"/>
              <w:bidi w:val="0"/>
              <w:spacing w:before="0" w:after="283"/>
              <w:jc w:val="left"/>
              <w:rPr/>
            </w:pPr>
            <w:r>
              <w:rPr/>
              <w:t> </w:t>
            </w:r>
          </w:p>
        </w:tc>
        <w:tc>
          <w:tcPr>
            <w:tcW w:w="3248"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772" w:type="dxa"/>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772" w:type="dxa"/>
            <w:tcBorders/>
            <w:vAlign w:val="bottom"/>
          </w:tcPr>
          <w:p>
            <w:pPr>
              <w:pStyle w:val="TableContents"/>
              <w:bidi w:val="0"/>
              <w:spacing w:before="0" w:after="283"/>
              <w:jc w:val="left"/>
              <w:rPr/>
            </w:pPr>
            <w:r>
              <w:rPr/>
              <w:t>By:</w:t>
            </w:r>
          </w:p>
        </w:tc>
        <w:tc>
          <w:tcPr>
            <w:tcW w:w="62" w:type="dxa"/>
            <w:tcBorders/>
            <w:vAlign w:val="bottom"/>
          </w:tcPr>
          <w:p>
            <w:pPr>
              <w:pStyle w:val="TableContents"/>
              <w:bidi w:val="0"/>
              <w:spacing w:before="0" w:after="283"/>
              <w:jc w:val="left"/>
              <w:rPr/>
            </w:pPr>
            <w:r>
              <w:rPr/>
              <w:t> </w:t>
            </w:r>
          </w:p>
        </w:tc>
        <w:tc>
          <w:tcPr>
            <w:tcW w:w="3248" w:type="dxa"/>
            <w:tcBorders/>
            <w:vAlign w:val="bottom"/>
          </w:tcPr>
          <w:p>
            <w:pPr>
              <w:pStyle w:val="TableContents"/>
              <w:pBdr>
                <w:bottom w:val="single" w:sz="2" w:space="1" w:color="000000"/>
              </w:pBdr>
              <w:bidi w:val="0"/>
              <w:spacing w:before="0" w:after="20"/>
              <w:jc w:val="left"/>
              <w:rPr/>
            </w:pPr>
            <w:r>
              <w:rPr/>
              <w:t> </w:t>
            </w:r>
          </w:p>
        </w:tc>
      </w:tr>
      <w:tr>
        <w:trPr/>
        <w:tc>
          <w:tcPr>
            <w:tcW w:w="772" w:type="dxa"/>
            <w:tcBorders/>
            <w:vAlign w:val="bottom"/>
          </w:tcPr>
          <w:p>
            <w:pPr>
              <w:pStyle w:val="TableContents"/>
              <w:bidi w:val="0"/>
              <w:spacing w:before="0" w:after="283"/>
              <w:jc w:val="left"/>
              <w:rPr/>
            </w:pPr>
            <w:r>
              <w:rPr/>
              <w:t>Name:</w:t>
            </w:r>
          </w:p>
        </w:tc>
        <w:tc>
          <w:tcPr>
            <w:tcW w:w="62" w:type="dxa"/>
            <w:tcBorders/>
            <w:vAlign w:val="bottom"/>
          </w:tcPr>
          <w:p>
            <w:pPr>
              <w:pStyle w:val="TableContents"/>
              <w:bidi w:val="0"/>
              <w:spacing w:before="0" w:after="283"/>
              <w:jc w:val="left"/>
              <w:rPr/>
            </w:pPr>
            <w:r>
              <w:rPr/>
              <w:t> </w:t>
            </w:r>
          </w:p>
        </w:tc>
        <w:tc>
          <w:tcPr>
            <w:tcW w:w="3248" w:type="dxa"/>
            <w:tcBorders/>
            <w:vAlign w:val="bottom"/>
          </w:tcPr>
          <w:p>
            <w:pPr>
              <w:pStyle w:val="TableContents"/>
              <w:bidi w:val="0"/>
              <w:spacing w:before="0" w:after="283"/>
              <w:jc w:val="left"/>
              <w:rPr>
                <w:sz w:val="4"/>
                <w:szCs w:val="4"/>
              </w:rPr>
            </w:pPr>
            <w:r>
              <w:rPr>
                <w:sz w:val="4"/>
                <w:szCs w:val="4"/>
              </w:rPr>
            </w:r>
          </w:p>
        </w:tc>
      </w:tr>
      <w:tr>
        <w:trPr/>
        <w:tc>
          <w:tcPr>
            <w:tcW w:w="772" w:type="dxa"/>
            <w:tcBorders/>
            <w:vAlign w:val="bottom"/>
          </w:tcPr>
          <w:p>
            <w:pPr>
              <w:pStyle w:val="TableContents"/>
              <w:bidi w:val="0"/>
              <w:spacing w:before="0" w:after="283"/>
              <w:jc w:val="left"/>
              <w:rPr/>
            </w:pPr>
            <w:r>
              <w:rPr/>
              <w:t>Title:</w:t>
            </w:r>
          </w:p>
        </w:tc>
        <w:tc>
          <w:tcPr>
            <w:tcW w:w="62" w:type="dxa"/>
            <w:tcBorders/>
            <w:vAlign w:val="bottom"/>
          </w:tcPr>
          <w:p>
            <w:pPr>
              <w:pStyle w:val="TableContents"/>
              <w:bidi w:val="0"/>
              <w:spacing w:before="0" w:after="283"/>
              <w:jc w:val="left"/>
              <w:rPr/>
            </w:pPr>
            <w:r>
              <w:rPr/>
              <w:t> </w:t>
            </w:r>
          </w:p>
        </w:tc>
        <w:tc>
          <w:tcPr>
            <w:tcW w:w="324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314</Pages>
  <Words>161491</Words>
  <Characters>897190</Characters>
  <CharactersWithSpaces>1071048</CharactersWithSpaces>
  <Paragraphs>25153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EX-10.6</dc:title>
</cp:coreProperties>
</file>