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560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56069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Kommareddi Madhuri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40"/>
        <w:spacing w:after="0" w:line="327" w:lineRule="auto"/>
        <w:rPr>
          <w:sz w:val="20"/>
          <w:szCs w:val="20"/>
          <w:color w:val="auto"/>
        </w:rPr>
      </w:pPr>
      <w:r>
        <w:rPr>
          <w:rFonts w:ascii="Times New Roman" w:cs="Times New Roman" w:eastAsia="Times New Roman" w:hAnsi="Times New Roman"/>
          <w:sz w:val="16"/>
          <w:szCs w:val="16"/>
          <w:color w:val="0000FF"/>
        </w:rPr>
        <w:t>C/O TEAMSHARES INC. 214 SULLIVAN STREET, 3B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Live Oak Acquisition Corp. V</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TMS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35" w:lineRule="exact"/>
        <w:rPr>
          <w:sz w:val="24"/>
          <w:szCs w:val="24"/>
          <w:color w:val="auto"/>
        </w:rPr>
      </w:pPr>
    </w:p>
    <w:p>
      <w:pPr>
        <w:sectPr>
          <w:pgSz w:w="11900" w:h="16838" w:orient="portrait"/>
          <w:cols w:equalWidth="0" w:num="3">
            <w:col w:w="3200" w:space="720"/>
            <w:col w:w="3140" w:space="68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9"/>
          </w:tcPr>
          <w:p>
            <w:pPr>
              <w:jc w:val="center"/>
              <w:ind w:right="35"/>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10012</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8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06/18/2026</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13,587</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2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9.2</w:t>
            </w:r>
          </w:p>
        </w:tc>
        <w:tc>
          <w:tcPr>
            <w:tcW w:w="60" w:type="dxa"/>
            <w:vAlign w:val="bottom"/>
          </w:tcPr>
          <w:p>
            <w:pPr>
              <w:spacing w:after="0"/>
              <w:rPr>
                <w:sz w:val="22"/>
                <w:szCs w:val="22"/>
                <w:color w:val="auto"/>
              </w:rPr>
            </w:pP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13,587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0.76</w:t>
            </w:r>
          </w:p>
        </w:tc>
        <w:tc>
          <w:tcPr>
            <w:tcW w:w="1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06/18/2026</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74,228</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05/31/2031</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74,228</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74,228</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0.76</w:t>
            </w:r>
          </w:p>
        </w:tc>
        <w:tc>
          <w:tcPr>
            <w:tcW w:w="1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06/18/2026</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15,975</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05/31/2031</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15,975</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15,975</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3.92</w:t>
            </w:r>
          </w:p>
        </w:tc>
        <w:tc>
          <w:tcPr>
            <w:tcW w:w="1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06/18/2026</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45,101</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01/13/2032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45,101</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45,101</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7.01</w:t>
            </w:r>
          </w:p>
        </w:tc>
        <w:tc>
          <w:tcPr>
            <w:tcW w:w="1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06/18/2026</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90,203</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08/20/2033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90,203</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90,203</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-2705735</wp:posOffset>
            </wp:positionV>
            <wp:extent cx="29210" cy="271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114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received as part of the Issuer's business combination, in connection with an Agreement and Plan of Merger, dated as of November 14, 2025, as amended and supplemented from time to time (the "Merger Agreement"), by and among the Issuer (formerly known as Live Oak Acquisition Corp. V), Catalyst Sub Inc., Catalyst Sub 2 LLC, Live Oak Sponsor V, LLC, Teamshares Inc. ("Legacy Teamshares") and Brian Gaebe, as the representative of the Legacy Teamshare holders entitled to receive earnout shares, pursuant to which the common stock of Legacy Teamshares automatically converted into newly issued shares of Common Stock, pursuant to the terms of the Merger Agreement. In addition, each Legacy Teamshares stock option was automatically converted into the right to receive stock options of the Issuer, pursuant to the terms of the Merger Agreement.</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as to 25% of the underlying shares on August 1, 2024 and will vest thereafter in 36 substantially equal monthly installments.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Jordyn Ashley, Attorney-in-  </w:t>
      </w:r>
      <w:r>
        <w:rPr>
          <w:rFonts w:ascii="Times New Roman" w:cs="Times New Roman" w:eastAsia="Times New Roman" w:hAnsi="Times New Roman"/>
          <w:sz w:val="33"/>
          <w:szCs w:val="33"/>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34144" TargetMode="External"/><Relationship Id="rId14" Type="http://schemas.openxmlformats.org/officeDocument/2006/relationships/hyperlink" Target="http://www.sec.gov/cgi-bin/browse-edgar?action=getcompany&amp;CIK=0002048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2026-06-23T18:22:04Z</dcterms:created>
  <dcterms:modified xsi:type="dcterms:W3CDTF">2026-06-23T18:22:04Z</dcterms:modified>
</cp:coreProperties>
</file>