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ind w:left="3740"/>
        <w:spacing w:after="0"/>
        <w:rPr>
          <w:sz w:val="20"/>
          <w:szCs w:val="20"/>
          <w:color w:val="auto"/>
        </w:rPr>
      </w:pPr>
      <w:r>
        <w:rPr>
          <w:rFonts w:ascii="Times New Roman" w:cs="Times New Roman" w:eastAsia="Times New Roman" w:hAnsi="Times New Roman"/>
          <w:sz w:val="22"/>
          <w:szCs w:val="22"/>
          <w:b w:val="1"/>
          <w:bCs w:val="1"/>
          <w:color w:val="0000FF"/>
        </w:rPr>
        <w:t>Teamshares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 par value $0.0001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06/18/2026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Spark Capital Growth Fund III, L.P.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pacing w:after="0"/>
        <w:tabs>
          <w:tab w:leader="none" w:pos="1380" w:val="left"/>
        </w:tabs>
        <w:rPr>
          <w:sz w:val="20"/>
          <w:szCs w:val="20"/>
          <w:color w:val="auto"/>
        </w:rPr>
      </w:pPr>
      <w:r>
        <w:rPr>
          <w:rFonts w:ascii="Times New Roman" w:cs="Times New Roman" w:eastAsia="Times New Roman" w:hAnsi="Times New Roman"/>
          <w:sz w:val="33"/>
          <w:szCs w:val="33"/>
          <w:color w:val="auto"/>
          <w:vertAlign w:val="superscript"/>
        </w:rPr>
        <w:t>Number of</w:t>
      </w:r>
      <w:r>
        <w:rPr>
          <w:sz w:val="20"/>
          <w:szCs w:val="20"/>
          <w:color w:val="auto"/>
        </w:rPr>
        <w:tab/>
      </w:r>
      <w:r>
        <w:rPr>
          <w:rFonts w:ascii="Times New Roman" w:cs="Times New Roman" w:eastAsia="Times New Roman" w:hAnsi="Times New Roman"/>
          <w:sz w:val="21"/>
          <w:szCs w:val="21"/>
          <w:color w:val="auto"/>
        </w:rPr>
        <w:t>Sole Voting Power</w:t>
      </w:r>
    </w:p>
    <w:p>
      <w:pPr>
        <w:spacing w:after="0" w:line="181" w:lineRule="auto"/>
        <w:tabs>
          <w:tab w:leader="none" w:pos="1140" w:val="left"/>
        </w:tabs>
        <w:rPr>
          <w:sz w:val="20"/>
          <w:szCs w:val="20"/>
          <w:color w:val="auto"/>
        </w:rPr>
      </w:pPr>
      <w:r>
        <w:rPr>
          <w:rFonts w:ascii="Times New Roman" w:cs="Times New Roman" w:eastAsia="Times New Roman" w:hAnsi="Times New Roman"/>
          <w:sz w:val="16"/>
          <w:szCs w:val="16"/>
          <w:color w:val="auto"/>
        </w:rPr>
        <w:t>Shares</w:t>
      </w:r>
      <w:r>
        <w:rPr>
          <w:sz w:val="20"/>
          <w:szCs w:val="20"/>
          <w:color w:val="auto"/>
        </w:rPr>
        <w:tab/>
      </w:r>
      <w:r>
        <w:rPr>
          <w:rFonts w:ascii="Times New Roman" w:cs="Times New Roman" w:eastAsia="Times New Roman" w:hAnsi="Times New Roman"/>
          <w:sz w:val="28"/>
          <w:szCs w:val="28"/>
          <w:color w:val="auto"/>
          <w:vertAlign w:val="subscript"/>
        </w:rPr>
        <w:t>5</w:t>
      </w:r>
    </w:p>
    <w:p>
      <w:pPr>
        <w:spacing w:after="0" w:line="184" w:lineRule="auto"/>
        <w:tabs>
          <w:tab w:leader="none" w:pos="1380" w:val="left"/>
        </w:tabs>
        <w:rPr>
          <w:sz w:val="20"/>
          <w:szCs w:val="20"/>
          <w:color w:val="auto"/>
        </w:rPr>
      </w:pPr>
      <w:r>
        <w:rPr>
          <w:rFonts w:ascii="Times New Roman" w:cs="Times New Roman" w:eastAsia="Times New Roman" w:hAnsi="Times New Roman"/>
          <w:sz w:val="18"/>
          <w:szCs w:val="18"/>
          <w:color w:val="auto"/>
        </w:rPr>
        <w:t>Beneficially</w:t>
      </w:r>
      <w:r>
        <w:rPr>
          <w:sz w:val="20"/>
          <w:szCs w:val="20"/>
          <w:color w:val="auto"/>
        </w:rPr>
        <w:tab/>
      </w:r>
      <w:r>
        <w:rPr>
          <w:rFonts w:ascii="Times New Roman" w:cs="Times New Roman" w:eastAsia="Times New Roman" w:hAnsi="Times New Roman"/>
          <w:sz w:val="34"/>
          <w:szCs w:val="34"/>
          <w:color w:val="auto"/>
          <w:vertAlign w:val="subscript"/>
        </w:rPr>
        <w:t>0.00</w:t>
      </w:r>
    </w:p>
    <w:p>
      <w:pPr>
        <w:sectPr>
          <w:pgSz w:w="11900" w:h="16838" w:orient="portrait"/>
          <w:cols w:equalWidth="0" w:num="1">
            <w:col w:w="10099"/>
          </w:cols>
          <w:pgMar w:left="360" w:top="866" w:right="1440" w:bottom="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53"/>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0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3,608,626.00</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300" w:type="dxa"/>
            <w:vAlign w:val="bottom"/>
          </w:tcPr>
          <w:p>
            <w:pPr>
              <w:spacing w:after="0"/>
              <w:rPr>
                <w:sz w:val="23"/>
                <w:szCs w:val="23"/>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309"/>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0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3,608,626.00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ind w:left="1120"/>
        <w:spacing w:after="0"/>
        <w:rPr>
          <w:sz w:val="20"/>
          <w:szCs w:val="20"/>
          <w:color w:val="auto"/>
        </w:rPr>
      </w:pPr>
      <w:r>
        <w:rPr>
          <w:rFonts w:ascii="Times New Roman" w:cs="Times New Roman" w:eastAsia="Times New Roman" w:hAnsi="Times New Roman"/>
          <w:sz w:val="22"/>
          <w:szCs w:val="22"/>
          <w:color w:val="auto"/>
        </w:rPr>
        <w:t>3,608,626.00</w:t>
      </w:r>
    </w:p>
    <w:p>
      <w:pPr>
        <w:spacing w:after="0" w:line="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5.0 %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Spark Capital Growth Founders' Fund III, L.P.</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0099"/>
          </w:cols>
          <w:pgMar w:left="360" w:top="102" w:right="1440" w:bottom="0" w:gutter="0" w:footer="0" w:header="0"/>
        </w:sectPr>
      </w:pP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36,813.00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36,813.00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36,813.00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0.1 %</w:t>
      </w:r>
    </w:p>
    <w:p>
      <w:pPr>
        <w:sectPr>
          <w:pgSz w:w="11900" w:h="16838" w:orient="portrait"/>
          <w:cols w:equalWidth="0" w:num="2">
            <w:col w:w="1060" w:space="60"/>
            <w:col w:w="8979"/>
          </w:cols>
          <w:pgMar w:left="360" w:top="102" w:right="1440" w:bottom="0" w:gutter="0" w:footer="0" w:header="0"/>
          <w:type w:val="continuous"/>
        </w:sectPr>
      </w:pPr>
    </w:p>
    <w:bookmarkStart w:id="2" w:name="page3"/>
    <w:bookmarkEnd w:id="2"/>
    <w:p>
      <w:pPr>
        <w:ind w:left="1120" w:hanging="1112"/>
        <w:spacing w:after="0"/>
        <w:tabs>
          <w:tab w:leader="none" w:pos="11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rFonts w:ascii="Times New Roman" w:cs="Times New Roman" w:eastAsia="Times New Roman" w:hAnsi="Times New Roman"/>
          <w:sz w:val="22"/>
          <w:szCs w:val="22"/>
          <w:color w:val="auto"/>
        </w:rPr>
      </w:pPr>
    </w:p>
    <w:p>
      <w:pPr>
        <w:ind w:left="11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Spark Growth Management Partners III,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46"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3,645,439.00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3,645,439.00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3,645,439.00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5.1 %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ectPr>
          <w:pgSz w:w="11900" w:h="16838" w:orient="portrait"/>
          <w:cols w:equalWidth="0" w:num="2">
            <w:col w:w="1060" w:space="60"/>
            <w:col w:w="8979"/>
          </w:cols>
          <w:pgMar w:left="360" w:top="111" w:right="1440" w:bottom="46"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Teamshares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jc w:val="right"/>
        <w:ind w:right="4579"/>
        <w:spacing w:after="0"/>
        <w:rPr>
          <w:sz w:val="20"/>
          <w:szCs w:val="20"/>
          <w:color w:val="auto"/>
        </w:rPr>
      </w:pPr>
      <w:r>
        <w:rPr>
          <w:rFonts w:ascii="Times New Roman" w:cs="Times New Roman" w:eastAsia="Times New Roman" w:hAnsi="Times New Roman"/>
          <w:sz w:val="22"/>
          <w:szCs w:val="22"/>
          <w:color w:val="auto"/>
        </w:rPr>
        <w:t>214 Sullivan Street, 3B, New York, New York 10012</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Name of person filing:</w:t>
      </w:r>
    </w:p>
    <w:p>
      <w:pPr>
        <w:sectPr>
          <w:pgSz w:w="11900" w:h="16838" w:orient="portrait"/>
          <w:cols w:equalWidth="0" w:num="1">
            <w:col w:w="10099"/>
          </w:cols>
          <w:pgMar w:left="360" w:top="111" w:right="1440" w:bottom="46" w:gutter="0" w:footer="0" w:header="0"/>
          <w:type w:val="continuous"/>
        </w:sectPr>
      </w:pPr>
    </w:p>
    <w:bookmarkStart w:id="3" w:name="page4"/>
    <w:bookmarkEnd w:id="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(k)</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4.</w:t>
      </w:r>
    </w:p>
    <w:p>
      <w:pPr>
        <w:spacing w:after="0" w:line="20" w:lineRule="exact"/>
        <w:rPr>
          <w:sz w:val="20"/>
          <w:szCs w:val="20"/>
          <w:color w:val="auto"/>
        </w:rPr>
      </w:pPr>
      <w:r>
        <w:rPr>
          <w:sz w:val="20"/>
          <w:szCs w:val="20"/>
          <w:color w:val="auto"/>
        </w:rPr>
        <w:br w:type="column"/>
      </w:r>
    </w:p>
    <w:p>
      <w:pPr>
        <w:spacing w:after="0" w:line="29" w:lineRule="exact"/>
        <w:rPr>
          <w:sz w:val="20"/>
          <w:szCs w:val="20"/>
          <w:color w:val="auto"/>
        </w:rPr>
      </w:pPr>
    </w:p>
    <w:p>
      <w:pPr>
        <w:ind w:right="120"/>
        <w:spacing w:after="0" w:line="244" w:lineRule="auto"/>
        <w:rPr>
          <w:sz w:val="20"/>
          <w:szCs w:val="20"/>
          <w:color w:val="auto"/>
        </w:rPr>
      </w:pPr>
      <w:r>
        <w:rPr>
          <w:rFonts w:ascii="Times New Roman" w:cs="Times New Roman" w:eastAsia="Times New Roman" w:hAnsi="Times New Roman"/>
          <w:sz w:val="22"/>
          <w:szCs w:val="22"/>
          <w:color w:val="auto"/>
        </w:rPr>
        <w:t>Each of the following is hereinafter individually referred to as a "Reporting Person" and collectively as the "Reporting Persons." This statement is filed on behalf of: Spark Capital Growth Fund III, L.P. Spark Capital Growth Founders' Fund III, L.P. Spark Growth Management Partners III, LLC</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ind w:right="320"/>
        <w:spacing w:after="0" w:line="256" w:lineRule="auto"/>
        <w:rPr>
          <w:sz w:val="20"/>
          <w:szCs w:val="20"/>
          <w:color w:val="auto"/>
        </w:rPr>
      </w:pPr>
      <w:r>
        <w:rPr>
          <w:rFonts w:ascii="Times New Roman" w:cs="Times New Roman" w:eastAsia="Times New Roman" w:hAnsi="Times New Roman"/>
          <w:sz w:val="22"/>
          <w:szCs w:val="22"/>
          <w:color w:val="auto"/>
        </w:rPr>
        <w:t>The principal business office address for each of the Reporting Persons is 200 Clarendon Street, Floor 59, Boston, MA 02116.</w:t>
      </w: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Each of the Reporting Persons is organized under the laws of the State of Delaware.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 par value $0.0001 per share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If this statement is filed pursuant to §§ 240.13d-1(b) or 240.13d-2(b) or (c), check whether the person filing is a:</w:t>
      </w:r>
    </w:p>
    <w:p>
      <w:pPr>
        <w:spacing w:after="0" w:line="5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Investment company registered under section 8 of the Investment Company Act of 1940 (15 U.S.C. 80a-8);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employee benefit plan or endowment fund in accordance with § 240.13d-1(b)(1)(ii)(F);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38" w:lineRule="exact"/>
        <w:rPr>
          <w:sz w:val="20"/>
          <w:szCs w:val="20"/>
          <w:color w:val="auto"/>
        </w:rPr>
      </w:pPr>
    </w:p>
    <w:p>
      <w:pPr>
        <w:ind w:right="640"/>
        <w:spacing w:after="0" w:line="258" w:lineRule="auto"/>
        <w:rPr>
          <w:sz w:val="20"/>
          <w:szCs w:val="20"/>
          <w:color w:val="auto"/>
        </w:rPr>
      </w:pPr>
      <w:r>
        <w:rPr>
          <w:sz w:val="1"/>
          <w:szCs w:val="1"/>
          <w:color w:val="auto"/>
        </w:rPr>
        <w:drawing>
          <wp:inline distT="0" distB="0" distL="0" distR="0">
            <wp:extent cx="128905" cy="128905"/>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right="980"/>
        <w:spacing w:after="0" w:line="241" w:lineRule="auto"/>
        <w:rPr>
          <w:sz w:val="20"/>
          <w:szCs w:val="20"/>
          <w:color w:val="auto"/>
        </w:rPr>
      </w:pPr>
      <w:r>
        <w:rPr>
          <w:sz w:val="1"/>
          <w:szCs w:val="1"/>
          <w:color w:val="auto"/>
        </w:rPr>
        <w:drawing>
          <wp:inline distT="0" distB="0" distL="0" distR="0">
            <wp:extent cx="128905" cy="12890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 accordance with § 240.13d-1(b)(1)(ii)(J),</w:t>
      </w:r>
    </w:p>
    <w:p>
      <w:pPr>
        <w:spacing w:after="0" w:line="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Group, in accordance with Rule 240.13d-1(b)(1)(ii)(K).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00" w:lineRule="exact"/>
        <w:rPr>
          <w:sz w:val="20"/>
          <w:szCs w:val="20"/>
          <w:color w:val="auto"/>
        </w:rPr>
      </w:pPr>
    </w:p>
    <w:p>
      <w:pPr>
        <w:sectPr>
          <w:pgSz w:w="11900" w:h="16887" w:orient="portrait"/>
          <w:cols w:equalWidth="0" w:num="2">
            <w:col w:w="620" w:space="300"/>
            <w:col w:w="10180"/>
          </w:cols>
          <w:pgMar w:left="360" w:top="112" w:right="439" w:bottom="0" w:gutter="0" w:footer="0" w:header="0"/>
        </w:sectPr>
      </w:pPr>
    </w:p>
    <w:p>
      <w:pPr>
        <w:spacing w:after="0" w:line="33" w:lineRule="exact"/>
        <w:rPr>
          <w:sz w:val="20"/>
          <w:szCs w:val="20"/>
          <w:color w:val="auto"/>
        </w:rPr>
      </w:pPr>
    </w:p>
    <w:p>
      <w:pPr>
        <w:ind w:left="920" w:right="60"/>
        <w:spacing w:after="0" w:line="249" w:lineRule="auto"/>
        <w:rPr>
          <w:sz w:val="20"/>
          <w:szCs w:val="20"/>
          <w:color w:val="auto"/>
        </w:rPr>
      </w:pPr>
      <w:r>
        <w:rPr>
          <w:rFonts w:ascii="Times New Roman" w:cs="Times New Roman" w:eastAsia="Times New Roman" w:hAnsi="Times New Roman"/>
          <w:sz w:val="21"/>
          <w:szCs w:val="21"/>
          <w:color w:val="auto"/>
        </w:rPr>
        <w:t>The information contained on the cover pages to this Schedule 13G is incorporated by reference into this Item 4. The ownership information presented herein represents beneficial ownership of Common Stock as of the date of this filing, based upon 71,985,774 shares of Common Stock outstanding as of June 18, 2026 as disclosed by the Issuer.</w:t>
      </w:r>
    </w:p>
    <w:p>
      <w:pPr>
        <w:spacing w:after="0" w:line="1" w:lineRule="exact"/>
        <w:rPr>
          <w:sz w:val="20"/>
          <w:szCs w:val="20"/>
          <w:color w:val="auto"/>
        </w:rPr>
      </w:pPr>
    </w:p>
    <w:p>
      <w:pPr>
        <w:ind w:left="920" w:hanging="912"/>
        <w:spacing w:after="0" w:line="244" w:lineRule="auto"/>
        <w:tabs>
          <w:tab w:leader="none" w:pos="920"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Consists of (i) 3,608,626 shares held by Spark Capital Growth Fund III, L.P. and (ii) 36,813 shares owned by Spark Capital Growth Founders' Fund III, L.P. Spark Growth Management Partners III, LLC is the general partner of each of Spark Capital Growth Fund III, L.P. and Spark Capital Growth Founders' Fund III, L.P. Alex Finkelstein, Jeremy Philips, and Santo Politi are the Managing Members of Spark Growth Management Partners III, LLC and hold voting and dispositive power over the shares held by Spark Capital Growth Fund III, L.P. and Spark Capital Growth Founders' Fund III, L.P. Each of the foregoing persons disclaims beneficial ownership of the reported shares.</w:t>
      </w:r>
    </w:p>
    <w:p>
      <w:pPr>
        <w:spacing w:after="0" w:line="1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See the information contained on the cover pages to this Schedule 13G. %</w:t>
      </w:r>
    </w:p>
    <w:p>
      <w:pPr>
        <w:spacing w:after="0" w:line="20"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See the information contained on the cover pages to this Schedule 13G.</w:t>
      </w:r>
    </w:p>
    <w:p>
      <w:pPr>
        <w:spacing w:after="0" w:line="28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(ii) Shared power to vote or to direct the vote:</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See the information contained on the cover pages to this Schedule 13G.</w:t>
      </w:r>
    </w:p>
    <w:p>
      <w:pPr>
        <w:spacing w:after="0" w:line="28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(iii) Sole power to dispose or to direct the disposition of:</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See the information contained on the cover pages to this Schedule 13G.</w:t>
      </w:r>
    </w:p>
    <w:p>
      <w:pPr>
        <w:spacing w:after="0" w:line="28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(iv) Shared power to dispose or to direct the disposition of:</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See the information contained on the cover pages to this Schedule 13G.</w:t>
      </w:r>
    </w:p>
    <w:p>
      <w:pPr>
        <w:sectPr>
          <w:pgSz w:w="11900" w:h="16887" w:orient="portrait"/>
          <w:cols w:equalWidth="0" w:num="1">
            <w:col w:w="11100"/>
          </w:cols>
          <w:pgMar w:left="360" w:top="112" w:right="439" w:bottom="0" w:gutter="0" w:footer="0" w:header="0"/>
          <w:type w:val="continuous"/>
        </w:sectPr>
      </w:pPr>
    </w:p>
    <w:bookmarkStart w:id="4" w:name="page5"/>
    <w:bookmarkEnd w:id="4"/>
    <w:p>
      <w:pPr>
        <w:spacing w:after="0"/>
        <w:rPr>
          <w:sz w:val="20"/>
          <w:szCs w:val="20"/>
          <w:color w:val="auto"/>
        </w:rPr>
      </w:pPr>
      <w:r>
        <w:rPr>
          <w:rFonts w:ascii="Times New Roman" w:cs="Times New Roman" w:eastAsia="Times New Roman" w:hAnsi="Times New Roman"/>
          <w:sz w:val="22"/>
          <w:szCs w:val="22"/>
          <w:color w:val="auto"/>
        </w:rPr>
        <w:t>Item 5.</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38" w:orient="portrait"/>
          <w:cols w:equalWidth="0" w:num="2">
            <w:col w:w="720" w:space="200"/>
            <w:col w:w="10220"/>
          </w:cols>
          <w:pgMar w:left="360" w:top="409" w:right="399" w:bottom="1440" w:gutter="0" w:footer="0" w:header="0"/>
        </w:sectPr>
      </w:pPr>
    </w:p>
    <w:p>
      <w:pPr>
        <w:ind w:left="940" w:right="160"/>
        <w:spacing w:after="0" w:line="239"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22"/>
          <w:szCs w:val="22"/>
          <w:color w:val="auto"/>
        </w:rPr>
        <w:t>Spark Capital Growth Fund III, L.P.</w:t>
      </w:r>
    </w:p>
    <w:p>
      <w:pPr>
        <w:ind w:left="5660"/>
        <w:spacing w:after="0"/>
        <w:tabs>
          <w:tab w:leader="none" w:pos="6720" w:val="left"/>
        </w:tabs>
        <w:rPr>
          <w:sz w:val="20"/>
          <w:szCs w:val="20"/>
          <w:color w:val="auto"/>
        </w:rPr>
      </w:pPr>
      <w:r>
        <w:rPr>
          <w:rFonts w:ascii="Times New Roman" w:cs="Times New Roman" w:eastAsia="Times New Roman" w:hAnsi="Times New Roman"/>
          <w:sz w:val="43"/>
          <w:szCs w:val="43"/>
          <w:color w:val="auto"/>
          <w:vertAlign w:val="subscript"/>
        </w:rPr>
        <w:t>Signature:</w:t>
      </w:r>
      <w:r>
        <w:rPr>
          <w:sz w:val="20"/>
          <w:szCs w:val="20"/>
          <w:color w:val="auto"/>
        </w:rPr>
        <w:tab/>
      </w:r>
      <w:r>
        <w:rPr>
          <w:rFonts w:ascii="Times New Roman" w:cs="Times New Roman" w:eastAsia="Times New Roman" w:hAnsi="Times New Roman"/>
          <w:sz w:val="21"/>
          <w:szCs w:val="21"/>
          <w:color w:val="auto"/>
        </w:rPr>
        <w:t>By: Spark Growth Management Partners III, LLC,</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its General Partner, By: /s/ Alexa Lyons</w:t>
      </w:r>
    </w:p>
    <w:p>
      <w:pPr>
        <w:spacing w:after="0" w:line="20"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Name/Title: Alexa Lyons, Authorized Signatory</w:t>
      </w:r>
    </w:p>
    <w:p>
      <w:pPr>
        <w:spacing w:after="0" w:line="44"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06/26/2026</w:t>
      </w:r>
    </w:p>
    <w:p>
      <w:pPr>
        <w:spacing w:after="0" w:line="152"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22"/>
          <w:szCs w:val="22"/>
          <w:color w:val="auto"/>
        </w:rPr>
        <w:t>Spark Capital Growth Founders' Fund III, L.P.</w:t>
      </w:r>
    </w:p>
    <w:p>
      <w:pPr>
        <w:ind w:left="5660"/>
        <w:spacing w:after="0"/>
        <w:tabs>
          <w:tab w:leader="none" w:pos="6720" w:val="left"/>
        </w:tabs>
        <w:rPr>
          <w:sz w:val="20"/>
          <w:szCs w:val="20"/>
          <w:color w:val="auto"/>
        </w:rPr>
      </w:pPr>
      <w:r>
        <w:rPr>
          <w:rFonts w:ascii="Times New Roman" w:cs="Times New Roman" w:eastAsia="Times New Roman" w:hAnsi="Times New Roman"/>
          <w:sz w:val="43"/>
          <w:szCs w:val="43"/>
          <w:color w:val="auto"/>
          <w:vertAlign w:val="subscript"/>
        </w:rPr>
        <w:t>Signature:</w:t>
      </w:r>
      <w:r>
        <w:rPr>
          <w:sz w:val="20"/>
          <w:szCs w:val="20"/>
          <w:color w:val="auto"/>
        </w:rPr>
        <w:tab/>
      </w:r>
      <w:r>
        <w:rPr>
          <w:rFonts w:ascii="Times New Roman" w:cs="Times New Roman" w:eastAsia="Times New Roman" w:hAnsi="Times New Roman"/>
          <w:sz w:val="21"/>
          <w:szCs w:val="21"/>
          <w:color w:val="auto"/>
        </w:rPr>
        <w:t>By: Spark Growth Management Partners III, LLC,</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its General Partner, By: /s/ Alexa Lyons</w:t>
      </w:r>
    </w:p>
    <w:p>
      <w:pPr>
        <w:spacing w:after="0" w:line="20"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Name/Title: Alexa Lyons, Authorized Signatory</w:t>
      </w:r>
    </w:p>
    <w:p>
      <w:pPr>
        <w:spacing w:after="0" w:line="44"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06/26/2026</w:t>
      </w:r>
    </w:p>
    <w:p>
      <w:pPr>
        <w:spacing w:after="0" w:line="152"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22"/>
          <w:szCs w:val="22"/>
          <w:color w:val="auto"/>
        </w:rPr>
        <w:t>Spark Growth Management Partners III, LLC</w:t>
      </w:r>
    </w:p>
    <w:p>
      <w:pPr>
        <w:spacing w:after="0" w:line="152" w:lineRule="exact"/>
        <w:rPr>
          <w:sz w:val="20"/>
          <w:szCs w:val="20"/>
          <w:color w:val="auto"/>
        </w:rPr>
      </w:pPr>
    </w:p>
    <w:p>
      <w:pPr>
        <w:ind w:left="4360"/>
        <w:spacing w:after="0"/>
        <w:tabs>
          <w:tab w:leader="none" w:pos="54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By: /s/ Alexa Lyons</w:t>
      </w:r>
    </w:p>
    <w:p>
      <w:pPr>
        <w:spacing w:after="0" w:line="44"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22"/>
          <w:szCs w:val="22"/>
          <w:color w:val="auto"/>
        </w:rPr>
        <w:t>Name/Title: Alexa Lyons, Authorized Signatory</w:t>
      </w:r>
    </w:p>
    <w:p>
      <w:pPr>
        <w:spacing w:after="0" w:line="44" w:lineRule="exact"/>
        <w:rPr>
          <w:sz w:val="20"/>
          <w:szCs w:val="20"/>
          <w:color w:val="auto"/>
        </w:rPr>
      </w:pPr>
    </w:p>
    <w:p>
      <w:pPr>
        <w:ind w:left="4360"/>
        <w:spacing w:after="0"/>
        <w:tabs>
          <w:tab w:leader="none" w:pos="54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06/26/2026</w:t>
      </w:r>
    </w:p>
    <w:p>
      <w:pPr>
        <w:spacing w:after="0" w:line="108" w:lineRule="exact"/>
        <w:rPr>
          <w:sz w:val="20"/>
          <w:szCs w:val="20"/>
          <w:color w:val="auto"/>
        </w:rPr>
      </w:pPr>
    </w:p>
    <w:p>
      <w:pPr>
        <w:jc w:val="center"/>
        <w:ind w:right="806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Exhibit 99: Joint Filing Agreement.</w:t>
      </w:r>
    </w:p>
    <w:sectPr>
      <w:pgSz w:w="11900" w:h="16838" w:orient="portrait"/>
      <w:cols w:equalWidth="0" w:num="1">
        <w:col w:w="11140"/>
      </w:cols>
      <w:pgMar w:left="360" w:top="409" w:right="39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1"/>
      <w:numFmt w:val="decimal"/>
      <w:start w:val="12"/>
    </w:lvl>
  </w:abstractNum>
  <w:abstractNum w:abstractNumId="3">
    <w:nsid w:val="46E87CCD"/>
    <w:multiLevelType w:val="hybridMultilevel"/>
    <w:lvl w:ilvl="0">
      <w:lvlJc w:val="left"/>
      <w:lvlText w:val="(%1)"/>
      <w:numFmt w:val="lowerLetter"/>
      <w:start w:val="1"/>
    </w:lvl>
  </w:abstractNum>
  <w:abstractNum w:abstractNumId="4">
    <w:nsid w:val="3D1B58BA"/>
    <w:multiLevelType w:val="hybridMultilevel"/>
    <w:lvl w:ilvl="0">
      <w:lvlJc w:val="left"/>
      <w:lvlText w:val="(%1)"/>
      <w:numFmt w:val="lowerLetter"/>
      <w:start w:val="1"/>
    </w:lvl>
  </w:abstractNum>
  <w:abstractNum w:abstractNumId="5">
    <w:nsid w:val="507ED7AB"/>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2026-06-26T17:53:23Z</dcterms:created>
  <dcterms:modified xsi:type="dcterms:W3CDTF">2026-06-26T17:53:23Z</dcterms:modified>
</cp:coreProperties>
</file>