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Moore Evan Charles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80" w:type="dxa"/>
            <w:vAlign w:val="bottom"/>
            <w:tcBorders>
              <w:top w:val="single" w:sz="8" w:color="0000EE"/>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Live Oak Acquisition Corp. 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TMS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TEAMSHARES INC.</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214 SULLIVAN STREET, 3B</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10012</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Jordyn Ashley,</w:t>
            </w:r>
          </w:p>
        </w:tc>
        <w:tc>
          <w:tcPr>
            <w:tcW w:w="7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16 AND FORM 144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27" w:lineRule="exact"/>
        <w:rPr>
          <w:sz w:val="20"/>
          <w:szCs w:val="20"/>
          <w:color w:val="auto"/>
        </w:rPr>
      </w:pPr>
    </w:p>
    <w:p>
      <w:pPr>
        <w:jc w:val="both"/>
        <w:ind w:firstLine="729"/>
        <w:spacing w:after="0" w:line="254" w:lineRule="auto"/>
        <w:rPr>
          <w:sz w:val="20"/>
          <w:szCs w:val="20"/>
          <w:color w:val="auto"/>
        </w:rPr>
      </w:pPr>
      <w:r>
        <w:rPr>
          <w:rFonts w:ascii="Times New Roman" w:cs="Times New Roman" w:eastAsia="Times New Roman" w:hAnsi="Times New Roman"/>
          <w:sz w:val="22"/>
          <w:szCs w:val="22"/>
          <w:color w:val="auto"/>
        </w:rPr>
        <w:t>With respect to holdings of and transactions in securities issued by Teamshares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the undersigned hereby constitutes and appoints the individuals named on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 and as may be amended from time to time, or any of them signing singly, with full power of substitution and resubstitution, to act as the undersigned’s true and lawful attorney-in-fact to:</w:t>
      </w:r>
    </w:p>
    <w:p>
      <w:pPr>
        <w:spacing w:after="0" w:line="211" w:lineRule="exact"/>
        <w:rPr>
          <w:sz w:val="20"/>
          <w:szCs w:val="20"/>
          <w:color w:val="auto"/>
        </w:rPr>
      </w:pPr>
    </w:p>
    <w:p>
      <w:pPr>
        <w:jc w:val="both"/>
        <w:ind w:left="1280" w:hanging="537"/>
        <w:spacing w:after="0" w:line="249" w:lineRule="auto"/>
        <w:tabs>
          <w:tab w:leader="none" w:pos="12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2"/>
          <w:szCs w:val="22"/>
          <w:b w:val="1"/>
          <w:bCs w:val="1"/>
          <w:i w:val="1"/>
          <w:iCs w:val="1"/>
          <w:color w:val="auto"/>
        </w:rPr>
        <w:t>“Form 144”</w:t>
      </w:r>
      <w:r>
        <w:rPr>
          <w:rFonts w:ascii="Times New Roman" w:cs="Times New Roman" w:eastAsia="Times New Roman" w:hAnsi="Times New Roman"/>
          <w:sz w:val="22"/>
          <w:szCs w:val="22"/>
          <w:color w:val="auto"/>
        </w:rPr>
        <w:t>), in accordance with the requirements of Rule 144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and</w:t>
      </w:r>
    </w:p>
    <w:p>
      <w:pPr>
        <w:spacing w:after="0" w:line="218" w:lineRule="exact"/>
        <w:rPr>
          <w:rFonts w:ascii="Times New Roman" w:cs="Times New Roman" w:eastAsia="Times New Roman" w:hAnsi="Times New Roman"/>
          <w:sz w:val="22"/>
          <w:szCs w:val="22"/>
          <w:color w:val="auto"/>
        </w:rPr>
      </w:pPr>
    </w:p>
    <w:p>
      <w:pPr>
        <w:jc w:val="both"/>
        <w:ind w:left="1280" w:hanging="537"/>
        <w:spacing w:after="0" w:line="249" w:lineRule="auto"/>
        <w:tabs>
          <w:tab w:leader="none" w:pos="12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218" w:lineRule="exact"/>
        <w:rPr>
          <w:sz w:val="20"/>
          <w:szCs w:val="20"/>
          <w:color w:val="auto"/>
        </w:rPr>
      </w:pPr>
    </w:p>
    <w:p>
      <w:pPr>
        <w:jc w:val="both"/>
        <w:ind w:firstLine="729"/>
        <w:spacing w:after="0" w:line="248"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7"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08" w:lineRule="exact"/>
        <w:rPr>
          <w:sz w:val="20"/>
          <w:szCs w:val="20"/>
          <w:color w:val="auto"/>
        </w:rPr>
      </w:pPr>
    </w:p>
    <w:p>
      <w:pPr>
        <w:jc w:val="both"/>
        <w:ind w:firstLine="729"/>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June 22, 2026.</w:t>
      </w:r>
    </w:p>
    <w:p>
      <w:pPr>
        <w:spacing w:after="0" w:line="272"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color w:val="auto"/>
        </w:rPr>
        <w:t>/s/ Evan Charles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3897630</wp:posOffset>
            </wp:positionH>
            <wp:positionV relativeFrom="paragraph">
              <wp:posOffset>17145</wp:posOffset>
            </wp:positionV>
            <wp:extent cx="166751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667510" cy="9525"/>
                    </a:xfrm>
                    <a:prstGeom prst="rect">
                      <a:avLst/>
                    </a:prstGeom>
                    <a:noFill/>
                  </pic:spPr>
                </pic:pic>
              </a:graphicData>
            </a:graphic>
          </wp:anchor>
        </w:drawing>
      </w:r>
    </w:p>
    <w:p>
      <w:pPr>
        <w:spacing w:after="0" w:line="1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2"/>
          <w:szCs w:val="22"/>
          <w:b w:val="1"/>
          <w:bCs w:val="1"/>
          <w:color w:val="auto"/>
        </w:rPr>
        <w:t>Evan Charles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699770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106" w:right="479" w:bottom="1440" w:gutter="0" w:footer="0" w:header="0"/>
        </w:sectPr>
      </w:pPr>
    </w:p>
    <w:bookmarkStart w:id="2" w:name="page3"/>
    <w:bookmarkEnd w:id="2"/>
    <w:p>
      <w:pPr>
        <w:jc w:val="center"/>
        <w:ind w:right="-960"/>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8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0"/>
          <w:szCs w:val="20"/>
          <w:b w:val="1"/>
          <w:bCs w:val="1"/>
          <w:color w:val="auto"/>
        </w:rPr>
        <w:t>INDIVIDUALS APPOINTED AS ATTORNEY-IN-FACT,</w:t>
      </w:r>
    </w:p>
    <w:p>
      <w:pPr>
        <w:spacing w:after="0" w:line="3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9"/>
          <w:szCs w:val="19"/>
          <w:b w:val="1"/>
          <w:bCs w:val="1"/>
          <w:color w:val="auto"/>
        </w:rPr>
        <w:t>WITH FULL POWER OF SUBSTITUTION AND RESUBSTITUTION</w:t>
      </w:r>
    </w:p>
    <w:p>
      <w:pPr>
        <w:spacing w:after="0" w:line="282" w:lineRule="exact"/>
        <w:rPr>
          <w:sz w:val="20"/>
          <w:szCs w:val="20"/>
          <w:color w:val="auto"/>
        </w:rPr>
      </w:pPr>
    </w:p>
    <w:p>
      <w:pPr>
        <w:ind w:left="440" w:hanging="440"/>
        <w:spacing w:after="0"/>
        <w:tabs>
          <w:tab w:leader="none" w:pos="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Madhuri Kommareddi, Chief Operating Officer and Corporate Secretary of the Company</w:t>
      </w:r>
    </w:p>
    <w:p>
      <w:pPr>
        <w:spacing w:after="0" w:line="26" w:lineRule="exact"/>
        <w:rPr>
          <w:rFonts w:ascii="Times New Roman" w:cs="Times New Roman" w:eastAsia="Times New Roman" w:hAnsi="Times New Roman"/>
          <w:sz w:val="22"/>
          <w:szCs w:val="22"/>
          <w:color w:val="auto"/>
        </w:rPr>
      </w:pPr>
    </w:p>
    <w:p>
      <w:pPr>
        <w:ind w:left="440" w:hanging="440"/>
        <w:spacing w:after="0"/>
        <w:tabs>
          <w:tab w:leader="none" w:pos="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Brian Gaebe, Chief Financial Officer of the Company</w:t>
      </w:r>
    </w:p>
    <w:p>
      <w:pPr>
        <w:spacing w:after="0" w:line="2" w:lineRule="exact"/>
        <w:rPr>
          <w:rFonts w:ascii="Times New Roman" w:cs="Times New Roman" w:eastAsia="Times New Roman" w:hAnsi="Times New Roman"/>
          <w:sz w:val="22"/>
          <w:szCs w:val="22"/>
          <w:color w:val="auto"/>
        </w:rPr>
      </w:pPr>
    </w:p>
    <w:p>
      <w:pPr>
        <w:ind w:left="440" w:hanging="440"/>
        <w:spacing w:after="0"/>
        <w:tabs>
          <w:tab w:leader="none" w:pos="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Jordyn Ashley, Corporate Counsel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713740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979"/>
      </w:cols>
      <w:pgMar w:left="480" w:top="8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34155" TargetMode="External"/><Relationship Id="rId11" Type="http://schemas.openxmlformats.org/officeDocument/2006/relationships/hyperlink" Target="http://www.sec.gov/cgi-bin/browse-edgar?action=getcompany&amp;CIK=00020489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2026-06-23T18:04:56Z</dcterms:created>
  <dcterms:modified xsi:type="dcterms:W3CDTF">2026-06-23T18:04:56Z</dcterms:modified>
</cp:coreProperties>
</file>