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Teamshares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USV 2019,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2,271,932.00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2,271,932.00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2,271,932.00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USV Bundled 2022,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91,920.00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91,920.00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91,920.00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USV Bundled Investors 2022,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USV Investors 2019,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106,739.00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106,739.00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106,739.00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USV Opportunity 2022,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1,543,615.00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1,543,615.00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1,543,615.00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USV 2019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2,378,671.00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2,378,671.00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2,378,671.00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USV Opportunity 2022 GP,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1,543,615.00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1,543,615.00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1,543,615.00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USV Bundled 2022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106,361.00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106,361.00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106,361.00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Teamshares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214 Sullivan Street, 3B, New York, New York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USV 2019, LP USV Bundled 2022, LP USV Bundled Investors 2022, LP USV Investors 2019, LP USV Opportunity 2022, LP USV 2019 GP, LLC USV Opportunity 2022 GP, LLC USV Bundled 2022 GP, LLC</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1060"/>
          </w:cols>
          <w:pgMar w:left="360" w:top="355" w:right="47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principal business office address for each of the Reporting Persons is 817 Broadway, 14th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is organized under the laws of the State of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40"/>
          </w:cols>
          <w:pgMar w:left="360" w:top="355" w:right="479" w:bottom="0" w:gutter="0" w:footer="0" w:header="0"/>
          <w:type w:val="continuous"/>
        </w:sectPr>
      </w:pPr>
    </w:p>
    <w:bookmarkStart w:id="7" w:name="page8"/>
    <w:bookmarkEnd w:id="7"/>
    <w:p>
      <w:pPr>
        <w:spacing w:after="0" w:line="35"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47"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Stock as of the date of this filing, based upon 71,985,774 shares of Common Stock outstanding as of June 18, 2026 as disclosed by the Issuer. Consists of (i) 2,271,932 shares held by USV 2019, LP, (ii) 91,920 shares held by USV Bundled 2022, LP, (iii)</w:t>
      </w:r>
    </w:p>
    <w:p>
      <w:pPr>
        <w:spacing w:after="0" w:line="2" w:lineRule="exact"/>
        <w:rPr>
          <w:sz w:val="20"/>
          <w:szCs w:val="20"/>
          <w:color w:val="auto"/>
        </w:rPr>
      </w:pPr>
    </w:p>
    <w:p>
      <w:pPr>
        <w:ind w:left="920" w:right="40" w:hanging="912"/>
        <w:spacing w:after="0" w:line="207"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14,441 shares held by USV Bundled Investors 2022, LP, (iv) 106,739 shares held by USV Investors 2019, LP, and (v) 1,543,615 shares held by USV Opportunity 2022, LP. USV 2019 GP, LLC is the general partner of and investment manager to each of USV 2019, LP and USV Investors 2019, LP. USV Opportunity 2022 GP, LLC is the general partner of and investment manager to USV Opportunity 2022, LP. USV Bundled 2022 GP, LLC is the general partner of and investment manager to each of USV Bundled 2022, LP and USV Bundled Investors 2022, LP. Each of USV 2019 GP, LLC, USV Opportunity 2022 GP, LLC, and USV Bundled 2022 GP, LLC may be deemed to share beneficially ownership of the shares held by their respective funds, but each disclaims beneficial ownership of the reported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 %</w:t>
      </w:r>
    </w:p>
    <w:p>
      <w:pPr>
        <w:spacing w:after="0" w:line="20"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4"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USV 2019, LP</w:t>
      </w:r>
    </w:p>
    <w:p>
      <w:pPr>
        <w:sectPr>
          <w:pgSz w:w="11900" w:h="16874" w:orient="portrait"/>
          <w:cols w:equalWidth="0" w:num="1">
            <w:col w:w="11140"/>
          </w:cols>
          <w:pgMar w:left="360" w:top="111" w:right="399" w:bottom="0" w:gutter="0" w:footer="0" w:header="0"/>
          <w:type w:val="continuous"/>
        </w:sectPr>
      </w:pPr>
    </w:p>
    <w:bookmarkStart w:id="8" w:name="page9"/>
    <w:bookmarkEnd w:id="8"/>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USV 2019 GP, LLC, its General Partner, By:</w:t>
      </w:r>
    </w:p>
    <w:p>
      <w:pPr>
        <w:ind w:left="6740"/>
        <w:spacing w:after="0"/>
        <w:rPr>
          <w:sz w:val="20"/>
          <w:szCs w:val="20"/>
          <w:color w:val="auto"/>
        </w:rPr>
      </w:pPr>
      <w:r>
        <w:rPr>
          <w:rFonts w:ascii="Times New Roman" w:cs="Times New Roman" w:eastAsia="Times New Roman" w:hAnsi="Times New Roman"/>
          <w:sz w:val="22"/>
          <w:szCs w:val="22"/>
          <w:color w:val="auto"/>
        </w:rPr>
        <w:t>/s/ Rebecca Kaden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USV Bundled 2022,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USV Bundled 2022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Rebecca Kaden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USV Bundled Investors 2022,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USV Bundled 2022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Rebecca Kaden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USV Investors 2019,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USV 2019 GP, LLC, its General Partner,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 Rebecca Kaden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USV Opportunity 2022, LP</w:t>
      </w:r>
    </w:p>
    <w:p>
      <w:pPr>
        <w:jc w:val="right"/>
        <w:spacing w:after="0"/>
        <w:tabs>
          <w:tab w:leader="none" w:pos="42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USV Opportunity 2022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Rebecca Kaden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USV 2019 GP, LLC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Rebecca Kaden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USV Opportunity 2022 GP, LLC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Rebecca Kaden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USV Bundled 2022 GP, LLC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Rebecca Kaden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Rebecca Kaden, Managing Member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08"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Joint Filing Agreement.</w:t>
      </w:r>
    </w:p>
    <w:sectPr>
      <w:pgSz w:w="11900" w:h="16838" w:orient="portrait"/>
      <w:cols w:equalWidth="0" w:num="1">
        <w:col w:w="11020"/>
      </w:cols>
      <w:pgMar w:left="360" w:top="2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1"/>
      <w:numFmt w:val="decimal"/>
      <w:start w:val="12"/>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2026-06-26T16:30:55Z</dcterms:created>
  <dcterms:modified xsi:type="dcterms:W3CDTF">2026-06-26T16:30:55Z</dcterms:modified>
</cp:coreProperties>
</file>